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9C5944" w14:textId="77777777" w:rsidR="000F7FA7" w:rsidRDefault="000F7FA7" w:rsidP="000F7FA7">
      <w:pPr>
        <w:spacing w:after="0" w:line="240" w:lineRule="auto"/>
        <w:rPr>
          <w:rFonts w:ascii="Tahoma" w:hAnsi="Tahoma" w:cs="Tahoma"/>
          <w:b/>
          <w:sz w:val="48"/>
          <w:szCs w:val="48"/>
        </w:rPr>
      </w:pPr>
      <w:r>
        <w:rPr>
          <w:rFonts w:ascii="Tahoma" w:hAnsi="Tahoma" w:cs="Tahoma"/>
          <w:b/>
          <w:sz w:val="48"/>
          <w:szCs w:val="48"/>
        </w:rPr>
        <w:t>POLÍ</w:t>
      </w:r>
      <w:r w:rsidRPr="00310447">
        <w:rPr>
          <w:rFonts w:ascii="Tahoma" w:hAnsi="Tahoma" w:cs="Tahoma"/>
          <w:b/>
          <w:sz w:val="48"/>
          <w:szCs w:val="48"/>
        </w:rPr>
        <w:t>TIC</w:t>
      </w:r>
      <w:r>
        <w:rPr>
          <w:rFonts w:ascii="Tahoma" w:hAnsi="Tahoma" w:cs="Tahoma"/>
          <w:b/>
          <w:sz w:val="48"/>
          <w:szCs w:val="48"/>
        </w:rPr>
        <w:t xml:space="preserve">A DE </w:t>
      </w:r>
    </w:p>
    <w:p w14:paraId="08591C0A" w14:textId="3EB60EC5" w:rsidR="000F7FA7" w:rsidRPr="002A140C" w:rsidRDefault="000F7FA7" w:rsidP="000F7FA7">
      <w:pPr>
        <w:spacing w:after="0" w:line="240" w:lineRule="auto"/>
        <w:rPr>
          <w:rFonts w:ascii="Tahoma" w:hAnsi="Tahoma" w:cs="Tahoma"/>
          <w:b/>
          <w:sz w:val="48"/>
          <w:szCs w:val="48"/>
        </w:rPr>
      </w:pPr>
      <w:r>
        <w:rPr>
          <w:rFonts w:ascii="Tahoma" w:hAnsi="Tahoma" w:cs="Tahoma"/>
          <w:b/>
          <w:sz w:val="48"/>
          <w:szCs w:val="48"/>
        </w:rPr>
        <w:t xml:space="preserve">INVESTIMENTOS </w:t>
      </w:r>
      <w:r w:rsidRPr="007930C5">
        <w:rPr>
          <w:rFonts w:ascii="Tahoma" w:hAnsi="Tahoma" w:cs="Tahoma"/>
          <w:b/>
          <w:sz w:val="48"/>
          <w:szCs w:val="48"/>
        </w:rPr>
        <w:t>202</w:t>
      </w:r>
      <w:r w:rsidR="00E16EDA" w:rsidRPr="007930C5">
        <w:rPr>
          <w:rFonts w:ascii="Tahoma" w:hAnsi="Tahoma" w:cs="Tahoma"/>
          <w:b/>
          <w:sz w:val="48"/>
          <w:szCs w:val="48"/>
        </w:rPr>
        <w:t>5</w:t>
      </w:r>
    </w:p>
    <w:p w14:paraId="268780DD" w14:textId="77777777" w:rsidR="000F7FA7" w:rsidRDefault="000F7FA7" w:rsidP="000F7FA7">
      <w:pPr>
        <w:spacing w:after="120"/>
        <w:rPr>
          <w:sz w:val="28"/>
          <w:szCs w:val="30"/>
        </w:rPr>
      </w:pPr>
    </w:p>
    <w:p w14:paraId="138182F4" w14:textId="77777777" w:rsidR="000F7FA7" w:rsidRDefault="000F7FA7" w:rsidP="000F7FA7">
      <w:pPr>
        <w:spacing w:after="120"/>
        <w:rPr>
          <w:sz w:val="28"/>
          <w:szCs w:val="30"/>
        </w:rPr>
      </w:pPr>
    </w:p>
    <w:p w14:paraId="3730FCA6" w14:textId="77777777" w:rsidR="000F7FA7" w:rsidRDefault="000F7FA7" w:rsidP="000F7FA7">
      <w:pPr>
        <w:spacing w:after="120"/>
        <w:rPr>
          <w:sz w:val="28"/>
          <w:szCs w:val="30"/>
        </w:rPr>
      </w:pPr>
    </w:p>
    <w:p w14:paraId="151B68A9" w14:textId="77777777" w:rsidR="000F7FA7" w:rsidRDefault="000F7FA7" w:rsidP="000F7FA7">
      <w:pPr>
        <w:spacing w:after="120"/>
        <w:rPr>
          <w:sz w:val="28"/>
          <w:szCs w:val="30"/>
        </w:rPr>
      </w:pPr>
    </w:p>
    <w:p w14:paraId="2F2E7B35" w14:textId="588363BD" w:rsidR="00465C63" w:rsidRPr="000E119C" w:rsidRDefault="00465C63" w:rsidP="000F7FA7">
      <w:pPr>
        <w:spacing w:after="120"/>
        <w:rPr>
          <w:rFonts w:ascii="Tahoma" w:hAnsi="Tahoma" w:cs="Tahoma"/>
          <w:b/>
          <w:color w:val="002060"/>
          <w:sz w:val="28"/>
          <w:szCs w:val="30"/>
        </w:rPr>
      </w:pPr>
      <w:r w:rsidRPr="000E119C">
        <w:rPr>
          <w:sz w:val="28"/>
          <w:szCs w:val="30"/>
        </w:rPr>
        <w:object w:dxaOrig="2425" w:dyaOrig="2598" w14:anchorId="5F4C10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5pt;height:14.25pt" o:ole="">
            <v:imagedata r:id="rId11" o:title=""/>
          </v:shape>
          <o:OLEObject Type="Embed" ProgID="CorelDRAW.Graphic.13" ShapeID="_x0000_i1025" DrawAspect="Content" ObjectID="_1793685898" r:id="rId12"/>
        </w:object>
      </w:r>
      <w:r w:rsidRPr="000E119C">
        <w:rPr>
          <w:sz w:val="28"/>
          <w:szCs w:val="30"/>
        </w:rPr>
        <w:t xml:space="preserve"> </w:t>
      </w:r>
      <w:r w:rsidR="007A0B11">
        <w:rPr>
          <w:rFonts w:ascii="Tahoma" w:hAnsi="Tahoma" w:cs="Tahoma"/>
          <w:b/>
          <w:color w:val="002060"/>
          <w:sz w:val="28"/>
          <w:szCs w:val="30"/>
        </w:rPr>
        <w:t>POLÍTICA DE INVESTIMENTOS</w:t>
      </w:r>
      <w:r w:rsidRPr="000E119C">
        <w:rPr>
          <w:rFonts w:ascii="Tahoma" w:hAnsi="Tahoma" w:cs="Tahoma"/>
          <w:b/>
          <w:color w:val="002060"/>
          <w:sz w:val="28"/>
          <w:szCs w:val="30"/>
        </w:rPr>
        <w:t xml:space="preserve"> </w:t>
      </w:r>
      <w:r w:rsidRPr="007930C5">
        <w:rPr>
          <w:rFonts w:ascii="Tahoma" w:hAnsi="Tahoma" w:cs="Tahoma"/>
          <w:b/>
          <w:color w:val="002060"/>
          <w:sz w:val="28"/>
          <w:szCs w:val="30"/>
        </w:rPr>
        <w:t>202</w:t>
      </w:r>
      <w:r w:rsidR="00E16EDA" w:rsidRPr="007930C5">
        <w:rPr>
          <w:rFonts w:ascii="Tahoma" w:hAnsi="Tahoma" w:cs="Tahoma"/>
          <w:b/>
          <w:color w:val="002060"/>
          <w:sz w:val="28"/>
          <w:szCs w:val="30"/>
        </w:rPr>
        <w:t>5</w:t>
      </w:r>
      <w:r w:rsidRPr="000E119C">
        <w:rPr>
          <w:rFonts w:ascii="Tahoma" w:hAnsi="Tahoma" w:cs="Tahoma"/>
          <w:b/>
          <w:color w:val="002060"/>
          <w:sz w:val="28"/>
          <w:szCs w:val="30"/>
        </w:rPr>
        <w:t xml:space="preserve"> </w:t>
      </w:r>
      <w:r w:rsidRPr="000E119C">
        <w:rPr>
          <w:sz w:val="28"/>
          <w:szCs w:val="30"/>
        </w:rPr>
        <w:object w:dxaOrig="3163" w:dyaOrig="3187" w14:anchorId="04319324">
          <v:shape id="_x0000_i1026" type="#_x0000_t75" style="width:21.75pt;height:21.75pt" o:ole="">
            <v:imagedata r:id="rId13" o:title=""/>
          </v:shape>
          <o:OLEObject Type="Embed" ProgID="CorelDRAW.Graphic.13" ShapeID="_x0000_i1026" DrawAspect="Content" ObjectID="_1793685899" r:id="rId14"/>
        </w:object>
      </w:r>
    </w:p>
    <w:p w14:paraId="25396916" w14:textId="471A5C20" w:rsidR="00465C63" w:rsidRDefault="00465C63" w:rsidP="00A50E9C">
      <w:pPr>
        <w:spacing w:after="120"/>
        <w:jc w:val="both"/>
        <w:rPr>
          <w:rFonts w:ascii="Tahoma" w:hAnsi="Tahoma" w:cs="Tahoma"/>
        </w:rPr>
      </w:pPr>
    </w:p>
    <w:p w14:paraId="594D04BA" w14:textId="77777777" w:rsidR="000F7FA7" w:rsidRDefault="000F7FA7" w:rsidP="00A50E9C">
      <w:pPr>
        <w:spacing w:after="120"/>
        <w:jc w:val="both"/>
        <w:rPr>
          <w:rFonts w:ascii="Tahoma" w:hAnsi="Tahoma" w:cs="Tahoma"/>
        </w:rPr>
      </w:pPr>
    </w:p>
    <w:p w14:paraId="268139C0" w14:textId="6C00889C" w:rsidR="00465C63" w:rsidRPr="00BC3DE6" w:rsidRDefault="00465C63" w:rsidP="000F7FA7">
      <w:pPr>
        <w:spacing w:before="120" w:after="120" w:line="240" w:lineRule="auto"/>
        <w:ind w:left="1134" w:firstLine="709"/>
        <w:jc w:val="both"/>
        <w:rPr>
          <w:rFonts w:ascii="Tahoma" w:hAnsi="Tahoma" w:cs="Tahoma"/>
          <w:sz w:val="18"/>
          <w:szCs w:val="18"/>
        </w:rPr>
      </w:pPr>
      <w:r w:rsidRPr="00180805">
        <w:rPr>
          <w:rFonts w:ascii="Tahoma" w:hAnsi="Tahoma" w:cs="Tahoma"/>
          <w:sz w:val="18"/>
          <w:szCs w:val="18"/>
        </w:rPr>
        <w:t xml:space="preserve">Os responsáveis </w:t>
      </w:r>
      <w:r w:rsidRPr="00BC3DE6">
        <w:rPr>
          <w:rFonts w:ascii="Tahoma" w:hAnsi="Tahoma" w:cs="Tahoma"/>
          <w:sz w:val="18"/>
          <w:szCs w:val="18"/>
        </w:rPr>
        <w:t xml:space="preserve">pela gestão do </w:t>
      </w:r>
      <w:r w:rsidR="00F53C5D" w:rsidRPr="00BC3DE6">
        <w:rPr>
          <w:rFonts w:ascii="Tahoma" w:hAnsi="Tahoma" w:cs="Tahoma"/>
          <w:sz w:val="18"/>
          <w:szCs w:val="18"/>
        </w:rPr>
        <w:t>Regime Próprio de Previdência Social</w:t>
      </w:r>
      <w:r w:rsidR="00B80635" w:rsidRPr="00BC3DE6">
        <w:rPr>
          <w:rFonts w:ascii="Tahoma" w:hAnsi="Tahoma" w:cs="Tahoma"/>
          <w:sz w:val="18"/>
          <w:szCs w:val="18"/>
        </w:rPr>
        <w:t xml:space="preserve"> (RPPS)</w:t>
      </w:r>
      <w:r w:rsidRPr="00BC3DE6">
        <w:rPr>
          <w:rFonts w:ascii="Tahoma" w:hAnsi="Tahoma" w:cs="Tahoma"/>
          <w:sz w:val="18"/>
          <w:szCs w:val="18"/>
        </w:rPr>
        <w:t xml:space="preserve">, antes do exercício a que se referir, deverão definir a política anual de aplicação dos recursos, isto é, a </w:t>
      </w:r>
      <w:r w:rsidR="007A0B11" w:rsidRPr="00BC3DE6">
        <w:rPr>
          <w:rFonts w:ascii="Tahoma" w:hAnsi="Tahoma" w:cs="Tahoma"/>
          <w:sz w:val="18"/>
          <w:szCs w:val="18"/>
        </w:rPr>
        <w:t>Política de Investimentos</w:t>
      </w:r>
      <w:r w:rsidRPr="00BC3DE6">
        <w:rPr>
          <w:rFonts w:ascii="Tahoma" w:hAnsi="Tahoma" w:cs="Tahoma"/>
          <w:sz w:val="18"/>
          <w:szCs w:val="18"/>
        </w:rPr>
        <w:t xml:space="preserve">. Este documento estabelece o processo de investimento, ajudando o investidor a entender suas necessidades específicas, e aumentando a probabilidade de decisões adequadas ao seu perfil de investidor. </w:t>
      </w:r>
    </w:p>
    <w:p w14:paraId="46913C89" w14:textId="31AD4E65" w:rsidR="00465C63" w:rsidRPr="00BC3DE6" w:rsidRDefault="00465C63" w:rsidP="000F7FA7">
      <w:pPr>
        <w:spacing w:before="120" w:after="120" w:line="240" w:lineRule="auto"/>
        <w:ind w:left="1134" w:firstLine="709"/>
        <w:jc w:val="both"/>
        <w:rPr>
          <w:rFonts w:ascii="Tahoma" w:hAnsi="Tahoma" w:cs="Tahoma"/>
          <w:sz w:val="18"/>
          <w:szCs w:val="18"/>
        </w:rPr>
      </w:pPr>
      <w:r w:rsidRPr="00BC3DE6">
        <w:rPr>
          <w:rFonts w:ascii="Tahoma" w:hAnsi="Tahoma" w:cs="Tahoma"/>
          <w:sz w:val="18"/>
          <w:szCs w:val="18"/>
        </w:rPr>
        <w:t xml:space="preserve">A elaboração desta </w:t>
      </w:r>
      <w:r w:rsidR="007A0B11" w:rsidRPr="00BC3DE6">
        <w:rPr>
          <w:rFonts w:ascii="Tahoma" w:hAnsi="Tahoma" w:cs="Tahoma"/>
          <w:sz w:val="18"/>
          <w:szCs w:val="18"/>
        </w:rPr>
        <w:t>Política de Investimentos</w:t>
      </w:r>
      <w:r w:rsidRPr="00BC3DE6">
        <w:rPr>
          <w:rFonts w:ascii="Tahoma" w:hAnsi="Tahoma" w:cs="Tahoma"/>
          <w:sz w:val="18"/>
          <w:szCs w:val="18"/>
        </w:rPr>
        <w:t xml:space="preserve"> representa uma formalidade legal</w:t>
      </w:r>
      <w:r w:rsidR="00B80635" w:rsidRPr="00BC3DE6">
        <w:rPr>
          <w:rFonts w:ascii="Tahoma" w:hAnsi="Tahoma" w:cs="Tahoma"/>
          <w:sz w:val="18"/>
          <w:szCs w:val="18"/>
        </w:rPr>
        <w:t>,</w:t>
      </w:r>
      <w:r w:rsidRPr="00BC3DE6">
        <w:rPr>
          <w:rFonts w:ascii="Tahoma" w:hAnsi="Tahoma" w:cs="Tahoma"/>
          <w:sz w:val="18"/>
          <w:szCs w:val="18"/>
        </w:rPr>
        <w:t xml:space="preserve"> que fundamenta e norteia todo o processo de tomada de decisão relativo aos investimentos do RPPS, empregada como instrumento necessário para garantir a consistência da gestão dos recursos em busca do equilíbrio econômico-financeiro</w:t>
      </w:r>
      <w:r w:rsidR="00BC3DE6" w:rsidRPr="00BC3DE6">
        <w:rPr>
          <w:rFonts w:ascii="Tahoma" w:hAnsi="Tahoma" w:cs="Tahoma"/>
          <w:sz w:val="18"/>
          <w:szCs w:val="18"/>
        </w:rPr>
        <w:t>.</w:t>
      </w:r>
    </w:p>
    <w:p w14:paraId="4CCC400A" w14:textId="54548E1C" w:rsidR="00465C63" w:rsidRPr="00BC3DE6" w:rsidRDefault="00465C63" w:rsidP="000F7FA7">
      <w:pPr>
        <w:spacing w:before="120" w:after="120" w:line="240" w:lineRule="auto"/>
        <w:ind w:left="1134" w:firstLine="709"/>
        <w:jc w:val="both"/>
        <w:rPr>
          <w:rFonts w:ascii="Tahoma" w:hAnsi="Tahoma" w:cs="Tahoma"/>
          <w:sz w:val="18"/>
          <w:szCs w:val="18"/>
        </w:rPr>
      </w:pPr>
      <w:r w:rsidRPr="00BC3DE6">
        <w:rPr>
          <w:rFonts w:ascii="Tahoma" w:hAnsi="Tahoma" w:cs="Tahoma"/>
          <w:sz w:val="18"/>
          <w:szCs w:val="18"/>
        </w:rPr>
        <w:t xml:space="preserve">A presente Política estabelece os princípios e diretrizes que devem reger os investimentos dos recursos conferidos a entidade, com vistas a promover a segurança, liquidez e rentabilidade necessária para complementar o equilíbrio entre os ativos e passivos do </w:t>
      </w:r>
      <w:r w:rsidR="00B80635" w:rsidRPr="00BC3DE6">
        <w:rPr>
          <w:rFonts w:ascii="Tahoma" w:hAnsi="Tahoma" w:cs="Tahoma"/>
          <w:sz w:val="18"/>
          <w:szCs w:val="18"/>
        </w:rPr>
        <w:t>P</w:t>
      </w:r>
      <w:r w:rsidRPr="00BC3DE6">
        <w:rPr>
          <w:rFonts w:ascii="Tahoma" w:hAnsi="Tahoma" w:cs="Tahoma"/>
          <w:sz w:val="18"/>
          <w:szCs w:val="18"/>
        </w:rPr>
        <w:t>lano de Benefícios.</w:t>
      </w:r>
    </w:p>
    <w:p w14:paraId="52C1AB87" w14:textId="5BEC0868" w:rsidR="00465C63" w:rsidRPr="00BC3DE6" w:rsidRDefault="00465C63" w:rsidP="000F7FA7">
      <w:pPr>
        <w:spacing w:before="120" w:after="120" w:line="240" w:lineRule="auto"/>
        <w:ind w:left="1134" w:firstLine="709"/>
        <w:jc w:val="both"/>
        <w:rPr>
          <w:rFonts w:ascii="Tahoma" w:hAnsi="Tahoma" w:cs="Tahoma"/>
          <w:sz w:val="18"/>
          <w:szCs w:val="18"/>
        </w:rPr>
      </w:pPr>
      <w:r w:rsidRPr="00BC3DE6">
        <w:rPr>
          <w:rFonts w:ascii="Tahoma" w:hAnsi="Tahoma" w:cs="Tahoma"/>
          <w:sz w:val="18"/>
          <w:szCs w:val="18"/>
        </w:rPr>
        <w:t xml:space="preserve">A </w:t>
      </w:r>
      <w:r w:rsidR="007A0B11" w:rsidRPr="00BC3DE6">
        <w:rPr>
          <w:rFonts w:ascii="Tahoma" w:hAnsi="Tahoma" w:cs="Tahoma"/>
          <w:sz w:val="18"/>
          <w:szCs w:val="18"/>
        </w:rPr>
        <w:t>Política de Investimentos</w:t>
      </w:r>
      <w:r w:rsidRPr="00BC3DE6">
        <w:rPr>
          <w:rFonts w:ascii="Tahoma" w:hAnsi="Tahoma" w:cs="Tahoma"/>
          <w:sz w:val="18"/>
          <w:szCs w:val="18"/>
        </w:rPr>
        <w:t xml:space="preserve"> do RPPS deve ser constituída pelos seguintes elementos básicos: o modelo de gestão a ser adotado e, se for o caso, os critérios para a contratação de pessoas jurídicas autorizadas</w:t>
      </w:r>
      <w:r w:rsidR="00B80635" w:rsidRPr="00BC3DE6">
        <w:rPr>
          <w:rFonts w:ascii="Tahoma" w:hAnsi="Tahoma" w:cs="Tahoma"/>
          <w:sz w:val="18"/>
          <w:szCs w:val="18"/>
        </w:rPr>
        <w:t>,</w:t>
      </w:r>
      <w:r w:rsidRPr="00BC3DE6">
        <w:rPr>
          <w:rFonts w:ascii="Tahoma" w:hAnsi="Tahoma" w:cs="Tahoma"/>
          <w:sz w:val="18"/>
          <w:szCs w:val="18"/>
        </w:rPr>
        <w:t xml:space="preserve"> nos termos da legislação em vigor</w:t>
      </w:r>
      <w:r w:rsidR="00B80635" w:rsidRPr="00BC3DE6">
        <w:rPr>
          <w:rFonts w:ascii="Tahoma" w:hAnsi="Tahoma" w:cs="Tahoma"/>
          <w:sz w:val="18"/>
          <w:szCs w:val="18"/>
        </w:rPr>
        <w:t>,</w:t>
      </w:r>
      <w:r w:rsidRPr="00BC3DE6">
        <w:rPr>
          <w:rFonts w:ascii="Tahoma" w:hAnsi="Tahoma" w:cs="Tahoma"/>
          <w:sz w:val="18"/>
          <w:szCs w:val="18"/>
        </w:rPr>
        <w:t xml:space="preserve"> para o exercício profissional de administração de carteiras; a estratégia de alocação dos recursos entre os diversos segmentos de aplicação e as respectivas carteiras de investimentos; os parâmetros de rentabilidade perseguidos, que deverão buscar compatibilidade com o perfil de suas obrigações, tendo em vista a necessidade de busca e manutenção do equilíbrio financeiro e atuarial e os limites de diversificação e concentração previstos na legislação; e os limites utilizados para investimentos em títulos e valores mobiliários de emissão ou coobrigação de uma mesma pessoa jurídica - </w:t>
      </w:r>
      <w:r w:rsidRPr="00BC3DE6">
        <w:rPr>
          <w:rFonts w:ascii="Tahoma" w:hAnsi="Tahoma" w:cs="Tahoma"/>
          <w:b/>
          <w:sz w:val="18"/>
          <w:szCs w:val="18"/>
        </w:rPr>
        <w:t>Art. 4º, Subseção II</w:t>
      </w:r>
      <w:r w:rsidR="00B80635" w:rsidRPr="00BC3DE6">
        <w:rPr>
          <w:rFonts w:ascii="Tahoma" w:hAnsi="Tahoma" w:cs="Tahoma"/>
          <w:b/>
          <w:sz w:val="18"/>
          <w:szCs w:val="18"/>
        </w:rPr>
        <w:t>,</w:t>
      </w:r>
      <w:r w:rsidRPr="00BC3DE6">
        <w:rPr>
          <w:rFonts w:ascii="Tahoma" w:hAnsi="Tahoma" w:cs="Tahoma"/>
          <w:b/>
          <w:sz w:val="18"/>
          <w:szCs w:val="18"/>
        </w:rPr>
        <w:t xml:space="preserve"> Resolução CMN </w:t>
      </w:r>
      <w:r w:rsidR="00D57CDD" w:rsidRPr="00BC3DE6">
        <w:rPr>
          <w:rFonts w:ascii="Tahoma" w:hAnsi="Tahoma" w:cs="Tahoma"/>
          <w:b/>
          <w:sz w:val="18"/>
          <w:szCs w:val="18"/>
        </w:rPr>
        <w:t>4.963/2021</w:t>
      </w:r>
      <w:r w:rsidRPr="00BC3DE6">
        <w:rPr>
          <w:rFonts w:ascii="Tahoma" w:hAnsi="Tahoma" w:cs="Tahoma"/>
          <w:sz w:val="18"/>
          <w:szCs w:val="18"/>
        </w:rPr>
        <w:t>.</w:t>
      </w:r>
    </w:p>
    <w:p w14:paraId="4E0CB453" w14:textId="17888E42" w:rsidR="00414E7A" w:rsidRPr="00BC3DE6" w:rsidRDefault="002E755E" w:rsidP="000F7FA7">
      <w:pPr>
        <w:spacing w:before="120" w:after="120" w:line="240" w:lineRule="auto"/>
        <w:ind w:left="1134" w:firstLine="709"/>
        <w:jc w:val="both"/>
        <w:rPr>
          <w:rFonts w:ascii="Tahoma" w:hAnsi="Tahoma" w:cs="Tahoma"/>
          <w:sz w:val="18"/>
          <w:szCs w:val="18"/>
        </w:rPr>
      </w:pPr>
      <w:r w:rsidRPr="00BC3DE6">
        <w:rPr>
          <w:rFonts w:ascii="Tahoma" w:hAnsi="Tahoma" w:cs="Tahoma"/>
          <w:sz w:val="18"/>
          <w:szCs w:val="18"/>
        </w:rPr>
        <w:t>Em suma</w:t>
      </w:r>
      <w:r w:rsidR="00465C63" w:rsidRPr="00BC3DE6">
        <w:rPr>
          <w:rFonts w:ascii="Tahoma" w:hAnsi="Tahoma" w:cs="Tahoma"/>
          <w:sz w:val="18"/>
          <w:szCs w:val="18"/>
        </w:rPr>
        <w:t xml:space="preserve">, a </w:t>
      </w:r>
      <w:r w:rsidR="007A0B11" w:rsidRPr="00BC3DE6">
        <w:rPr>
          <w:rFonts w:ascii="Tahoma" w:hAnsi="Tahoma" w:cs="Tahoma"/>
          <w:sz w:val="18"/>
          <w:szCs w:val="18"/>
        </w:rPr>
        <w:t>Política de Investimentos</w:t>
      </w:r>
      <w:r w:rsidR="00465C63" w:rsidRPr="00BC3DE6">
        <w:rPr>
          <w:rFonts w:ascii="Tahoma" w:hAnsi="Tahoma" w:cs="Tahoma"/>
          <w:sz w:val="18"/>
          <w:szCs w:val="18"/>
        </w:rPr>
        <w:t xml:space="preserve"> </w:t>
      </w:r>
      <w:r w:rsidR="00414E7A" w:rsidRPr="00BC3DE6">
        <w:rPr>
          <w:rFonts w:ascii="Tahoma" w:hAnsi="Tahoma" w:cs="Tahoma"/>
          <w:sz w:val="18"/>
          <w:szCs w:val="18"/>
        </w:rPr>
        <w:t xml:space="preserve">traz os limites de alocação em ativos de renda fixa, renda variável, </w:t>
      </w:r>
      <w:r w:rsidR="0052501B" w:rsidRPr="00BC3DE6">
        <w:rPr>
          <w:rFonts w:ascii="Tahoma" w:hAnsi="Tahoma" w:cs="Tahoma"/>
          <w:sz w:val="18"/>
          <w:szCs w:val="18"/>
        </w:rPr>
        <w:t>e</w:t>
      </w:r>
      <w:r w:rsidR="00414E7A" w:rsidRPr="00BC3DE6">
        <w:rPr>
          <w:rFonts w:ascii="Tahoma" w:hAnsi="Tahoma" w:cs="Tahoma"/>
          <w:sz w:val="18"/>
          <w:szCs w:val="18"/>
        </w:rPr>
        <w:t>struturados, fundos imobiliários e empréstimos consignados, em consonância com a legislação vigente. Além desses limites, há vedações específicas que visam dotar os gestores de orientações quanto à alocação dos recursos financeiros em produtos e ativos adequados ao perfil e às necessidades atuariais do RPPS.</w:t>
      </w:r>
    </w:p>
    <w:p w14:paraId="6ADE4976" w14:textId="12BB4888" w:rsidR="000F7FA7" w:rsidRDefault="00414E7A" w:rsidP="000F7FA7">
      <w:pPr>
        <w:spacing w:before="120" w:after="120" w:line="240" w:lineRule="auto"/>
        <w:ind w:left="1134" w:firstLine="709"/>
        <w:jc w:val="both"/>
        <w:rPr>
          <w:rFonts w:ascii="Tahoma" w:hAnsi="Tahoma" w:cs="Tahoma"/>
          <w:sz w:val="18"/>
          <w:szCs w:val="18"/>
        </w:rPr>
      </w:pPr>
      <w:r w:rsidRPr="00BC3DE6">
        <w:rPr>
          <w:rFonts w:ascii="Tahoma" w:hAnsi="Tahoma" w:cs="Tahoma"/>
          <w:sz w:val="18"/>
          <w:szCs w:val="18"/>
        </w:rPr>
        <w:t>São utilizados cenários projetados pelo mercado atual e futuro, bem como</w:t>
      </w:r>
      <w:r w:rsidR="0052501B" w:rsidRPr="00BC3DE6">
        <w:rPr>
          <w:rFonts w:ascii="Tahoma" w:hAnsi="Tahoma" w:cs="Tahoma"/>
          <w:sz w:val="18"/>
          <w:szCs w:val="18"/>
        </w:rPr>
        <w:t>,</w:t>
      </w:r>
      <w:r w:rsidRPr="00BC3DE6">
        <w:rPr>
          <w:rFonts w:ascii="Tahoma" w:hAnsi="Tahoma" w:cs="Tahoma"/>
          <w:sz w:val="18"/>
          <w:szCs w:val="18"/>
        </w:rPr>
        <w:t xml:space="preserve"> análises realizadas pela equipe da Consultoria Referência em conjunto com </w:t>
      </w:r>
      <w:r w:rsidR="007F6D14" w:rsidRPr="00BC3DE6">
        <w:rPr>
          <w:rFonts w:ascii="Tahoma" w:hAnsi="Tahoma" w:cs="Tahoma"/>
          <w:sz w:val="18"/>
          <w:szCs w:val="18"/>
        </w:rPr>
        <w:t>Comitê de Investimentos</w:t>
      </w:r>
      <w:r w:rsidRPr="00BC3DE6">
        <w:rPr>
          <w:rFonts w:ascii="Tahoma" w:hAnsi="Tahoma" w:cs="Tahoma"/>
          <w:sz w:val="18"/>
          <w:szCs w:val="18"/>
        </w:rPr>
        <w:t>. O documento em questão pode ser revisto ou alterado, de forma justificada, com</w:t>
      </w:r>
      <w:r w:rsidRPr="00414E7A">
        <w:rPr>
          <w:rFonts w:ascii="Tahoma" w:hAnsi="Tahoma" w:cs="Tahoma"/>
          <w:sz w:val="18"/>
          <w:szCs w:val="18"/>
        </w:rPr>
        <w:t xml:space="preserve"> objetivo de se adequar ao mercado ou à eventual nova legislação.</w:t>
      </w:r>
    </w:p>
    <w:p w14:paraId="35DA4D11" w14:textId="77777777" w:rsidR="000F7FA7" w:rsidRDefault="000F7FA7">
      <w:pPr>
        <w:rPr>
          <w:rFonts w:ascii="Tahoma" w:hAnsi="Tahoma" w:cs="Tahoma"/>
          <w:sz w:val="18"/>
          <w:szCs w:val="18"/>
        </w:rPr>
      </w:pPr>
      <w:r>
        <w:rPr>
          <w:rFonts w:ascii="Tahoma" w:hAnsi="Tahoma" w:cs="Tahoma"/>
          <w:sz w:val="18"/>
          <w:szCs w:val="18"/>
        </w:rPr>
        <w:br w:type="page"/>
      </w:r>
    </w:p>
    <w:p w14:paraId="28444EA2" w14:textId="4D25EA3B" w:rsidR="00465C63" w:rsidRDefault="007F0471" w:rsidP="00A50E9C">
      <w:pPr>
        <w:spacing w:after="120"/>
        <w:ind w:left="2268"/>
        <w:jc w:val="both"/>
        <w:rPr>
          <w:rFonts w:ascii="Tahoma" w:hAnsi="Tahoma" w:cs="Tahoma"/>
        </w:rPr>
      </w:pPr>
      <w:r>
        <w:rPr>
          <w:rFonts w:ascii="Tahoma" w:hAnsi="Tahoma" w:cs="Tahoma"/>
          <w:noProof/>
        </w:rPr>
        <w:lastRenderedPageBreak/>
        <mc:AlternateContent>
          <mc:Choice Requires="wps">
            <w:drawing>
              <wp:anchor distT="0" distB="0" distL="114300" distR="114300" simplePos="0" relativeHeight="251661312" behindDoc="0" locked="0" layoutInCell="1" allowOverlap="1" wp14:anchorId="7CE66D0B" wp14:editId="31A92C72">
                <wp:simplePos x="0" y="0"/>
                <wp:positionH relativeFrom="margin">
                  <wp:posOffset>-261151</wp:posOffset>
                </wp:positionH>
                <wp:positionV relativeFrom="paragraph">
                  <wp:posOffset>-197540</wp:posOffset>
                </wp:positionV>
                <wp:extent cx="6058425" cy="1894637"/>
                <wp:effectExtent l="0" t="0" r="0" b="0"/>
                <wp:wrapNone/>
                <wp:docPr id="2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8425" cy="18946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AF7EA4" w14:textId="727FD406" w:rsidR="007A0B11" w:rsidRPr="00144DFD" w:rsidRDefault="007A0B11" w:rsidP="00144DFD">
                            <w:pPr>
                              <w:rPr>
                                <w:szCs w:val="48"/>
                              </w:rPr>
                            </w:pPr>
                            <w:r>
                              <w:rPr>
                                <w:rFonts w:ascii="Tahoma" w:hAnsi="Tahoma" w:cs="Tahoma"/>
                                <w:b/>
                                <w:noProof/>
                                <w:sz w:val="52"/>
                                <w:szCs w:val="48"/>
                              </w:rPr>
                              <w:fldChar w:fldCharType="begin"/>
                            </w:r>
                            <w:r>
                              <w:rPr>
                                <w:rFonts w:ascii="Tahoma" w:hAnsi="Tahoma" w:cs="Tahoma"/>
                                <w:b/>
                                <w:noProof/>
                                <w:sz w:val="52"/>
                                <w:szCs w:val="48"/>
                              </w:rPr>
                              <w:instrText xml:space="preserve"> MERGEFIELD NOME_DO_FUNDO </w:instrText>
                            </w:r>
                            <w:r>
                              <w:rPr>
                                <w:rFonts w:ascii="Tahoma" w:hAnsi="Tahoma" w:cs="Tahoma"/>
                                <w:b/>
                                <w:noProof/>
                                <w:sz w:val="52"/>
                                <w:szCs w:val="48"/>
                              </w:rPr>
                              <w:fldChar w:fldCharType="separate"/>
                            </w:r>
                            <w:r w:rsidR="00A14265" w:rsidRPr="00BC514D">
                              <w:rPr>
                                <w:rFonts w:ascii="Tahoma" w:hAnsi="Tahoma" w:cs="Tahoma"/>
                                <w:b/>
                                <w:noProof/>
                                <w:sz w:val="52"/>
                                <w:szCs w:val="48"/>
                              </w:rPr>
                              <w:t>FUNDO DE ASSISTÊNCIA E PREVIDÊNCIA DOS SERVIDORES ESTATUTÁRIOS DO MUNICÍPIO DE TRIUNFO – FAPETRI</w:t>
                            </w:r>
                            <w:r>
                              <w:rPr>
                                <w:rFonts w:ascii="Tahoma" w:hAnsi="Tahoma" w:cs="Tahoma"/>
                                <w:b/>
                                <w:noProof/>
                                <w:sz w:val="52"/>
                                <w:szCs w:val="4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E66D0B" id="_x0000_t202" coordsize="21600,21600" o:spt="202" path="m,l,21600r21600,l21600,xe">
                <v:stroke joinstyle="miter"/>
                <v:path gradientshapeok="t" o:connecttype="rect"/>
              </v:shapetype>
              <v:shape id="Text Box 4" o:spid="_x0000_s1026" type="#_x0000_t202" style="position:absolute;left:0;text-align:left;margin-left:-20.55pt;margin-top:-15.55pt;width:477.05pt;height:149.2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" filled="f" stroked="f">
                <v:textbox>
                  <w:txbxContent>
                    <w:p w14:paraId="1AAF7EA4" w14:textId="727FD406" w:rsidR="007A0B11" w:rsidRPr="00144DFD" w:rsidRDefault="007A0B11" w:rsidP="00144DFD">
                      <w:pPr>
                        <w:rPr>
                          <w:szCs w:val="48"/>
                        </w:rPr>
                      </w:pPr>
                      <w:r>
                        <w:rPr>
                          <w:rFonts w:ascii="Tahoma" w:hAnsi="Tahoma" w:cs="Tahoma"/>
                          <w:b/>
                          <w:noProof/>
                          <w:sz w:val="52"/>
                          <w:szCs w:val="48"/>
                        </w:rPr>
                        <w:fldChar w:fldCharType="begin"/>
                      </w:r>
                      <w:r>
                        <w:rPr>
                          <w:rFonts w:ascii="Tahoma" w:hAnsi="Tahoma" w:cs="Tahoma"/>
                          <w:b/>
                          <w:noProof/>
                          <w:sz w:val="52"/>
                          <w:szCs w:val="48"/>
                        </w:rPr>
                        <w:instrText xml:space="preserve"> MERGEFIELD NOME_DO_FUNDO </w:instrText>
                      </w:r>
                      <w:r>
                        <w:rPr>
                          <w:rFonts w:ascii="Tahoma" w:hAnsi="Tahoma" w:cs="Tahoma"/>
                          <w:b/>
                          <w:noProof/>
                          <w:sz w:val="52"/>
                          <w:szCs w:val="48"/>
                        </w:rPr>
                        <w:fldChar w:fldCharType="separate"/>
                      </w:r>
                      <w:r w:rsidR="00A14265" w:rsidRPr="00BC514D">
                        <w:rPr>
                          <w:rFonts w:ascii="Tahoma" w:hAnsi="Tahoma" w:cs="Tahoma"/>
                          <w:b/>
                          <w:noProof/>
                          <w:sz w:val="52"/>
                          <w:szCs w:val="48"/>
                        </w:rPr>
                        <w:t>FUNDO DE ASSISTÊNCIA E PREVIDÊNCIA DOS SERVIDORES ESTATUTÁRIOS DO MUNICÍPIO DE TRIUNFO – FAPETRI</w:t>
                      </w:r>
                      <w:r>
                        <w:rPr>
                          <w:rFonts w:ascii="Tahoma" w:hAnsi="Tahoma" w:cs="Tahoma"/>
                          <w:b/>
                          <w:noProof/>
                          <w:sz w:val="52"/>
                          <w:szCs w:val="48"/>
                        </w:rPr>
                        <w:fldChar w:fldCharType="end"/>
                      </w:r>
                    </w:p>
                  </w:txbxContent>
                </v:textbox>
                <w10:wrap anchorx="margin"/>
              </v:shape>
            </w:pict>
          </mc:Fallback>
        </mc:AlternateContent>
      </w:r>
    </w:p>
    <w:p w14:paraId="5F89642F" w14:textId="418602CB" w:rsidR="00465C63" w:rsidRDefault="00465C63" w:rsidP="00A50E9C">
      <w:pPr>
        <w:spacing w:after="120"/>
        <w:ind w:left="2268"/>
        <w:jc w:val="both"/>
        <w:rPr>
          <w:rFonts w:ascii="Tahoma" w:hAnsi="Tahoma" w:cs="Tahoma"/>
        </w:rPr>
      </w:pPr>
    </w:p>
    <w:p w14:paraId="34D535EB" w14:textId="77777777" w:rsidR="00465C63" w:rsidRDefault="00465C63" w:rsidP="00A50E9C">
      <w:pPr>
        <w:spacing w:after="120"/>
        <w:ind w:left="2268"/>
        <w:jc w:val="both"/>
        <w:rPr>
          <w:rFonts w:ascii="Tahoma" w:hAnsi="Tahoma" w:cs="Tahoma"/>
        </w:rPr>
      </w:pPr>
    </w:p>
    <w:p w14:paraId="72823FDA" w14:textId="77777777" w:rsidR="00465C63" w:rsidRDefault="00465C63" w:rsidP="00A50E9C">
      <w:pPr>
        <w:spacing w:after="120"/>
        <w:ind w:left="2268"/>
        <w:jc w:val="both"/>
        <w:rPr>
          <w:rFonts w:ascii="Tahoma" w:hAnsi="Tahoma" w:cs="Tahoma"/>
        </w:rPr>
      </w:pPr>
    </w:p>
    <w:p w14:paraId="09D872FA" w14:textId="77777777" w:rsidR="00465C63" w:rsidRDefault="00465C63" w:rsidP="00A50E9C">
      <w:pPr>
        <w:spacing w:after="120"/>
        <w:ind w:left="2268"/>
        <w:jc w:val="both"/>
        <w:rPr>
          <w:rFonts w:ascii="Tahoma" w:hAnsi="Tahoma" w:cs="Tahoma"/>
        </w:rPr>
      </w:pPr>
    </w:p>
    <w:p w14:paraId="4FBFA022" w14:textId="77777777" w:rsidR="00465C63" w:rsidRDefault="00465C63" w:rsidP="00A50E9C">
      <w:pPr>
        <w:spacing w:after="120"/>
        <w:ind w:left="2268"/>
        <w:jc w:val="both"/>
        <w:rPr>
          <w:rFonts w:ascii="Tahoma" w:hAnsi="Tahoma" w:cs="Tahoma"/>
        </w:rPr>
      </w:pPr>
    </w:p>
    <w:p w14:paraId="056F24DA" w14:textId="77777777" w:rsidR="00465C63" w:rsidRDefault="00465C63" w:rsidP="00A50E9C">
      <w:pPr>
        <w:spacing w:after="120"/>
        <w:ind w:left="2268"/>
        <w:jc w:val="both"/>
        <w:rPr>
          <w:rFonts w:ascii="Tahoma" w:hAnsi="Tahoma" w:cs="Tahoma"/>
        </w:rPr>
      </w:pPr>
    </w:p>
    <w:p w14:paraId="13E57346" w14:textId="3218AB0A" w:rsidR="00465C63" w:rsidRPr="00E8601E" w:rsidRDefault="00B25BB6" w:rsidP="00A50E9C">
      <w:pPr>
        <w:spacing w:after="120"/>
        <w:ind w:left="2268"/>
        <w:jc w:val="both"/>
        <w:rPr>
          <w:rFonts w:ascii="Tahoma" w:hAnsi="Tahoma" w:cs="Tahoma"/>
          <w:sz w:val="20"/>
        </w:rPr>
      </w:pPr>
      <w:r w:rsidRPr="00B25BB6">
        <w:rPr>
          <w:rFonts w:ascii="Tahoma" w:hAnsi="Tahoma" w:cs="Tahoma"/>
          <w:sz w:val="20"/>
        </w:rPr>
        <w:t xml:space="preserve">A elaboração desta </w:t>
      </w:r>
      <w:r w:rsidR="007A0B11">
        <w:rPr>
          <w:rFonts w:ascii="Tahoma" w:hAnsi="Tahoma" w:cs="Tahoma"/>
          <w:sz w:val="20"/>
        </w:rPr>
        <w:t>Política de Investimentos</w:t>
      </w:r>
      <w:r>
        <w:rPr>
          <w:rFonts w:ascii="Tahoma" w:hAnsi="Tahoma" w:cs="Tahoma"/>
          <w:sz w:val="20"/>
        </w:rPr>
        <w:t xml:space="preserve"> foi</w:t>
      </w:r>
      <w:r w:rsidRPr="00B25BB6">
        <w:rPr>
          <w:rFonts w:ascii="Tahoma" w:hAnsi="Tahoma" w:cs="Tahoma"/>
          <w:sz w:val="20"/>
        </w:rPr>
        <w:t xml:space="preserve"> conduzida pelo</w:t>
      </w:r>
      <w:r>
        <w:rPr>
          <w:rFonts w:ascii="Tahoma" w:hAnsi="Tahoma" w:cs="Tahoma"/>
          <w:sz w:val="20"/>
        </w:rPr>
        <w:t xml:space="preserve"> </w:t>
      </w:r>
      <w:r w:rsidRPr="00B25BB6">
        <w:rPr>
          <w:rFonts w:ascii="Tahoma" w:hAnsi="Tahoma" w:cs="Tahoma"/>
          <w:b/>
          <w:bCs/>
          <w:sz w:val="20"/>
        </w:rPr>
        <w:t>Gestor de Recursos</w:t>
      </w:r>
      <w:r>
        <w:rPr>
          <w:rFonts w:ascii="Tahoma" w:hAnsi="Tahoma" w:cs="Tahoma"/>
          <w:sz w:val="20"/>
        </w:rPr>
        <w:t xml:space="preserve"> e pelos membros do</w:t>
      </w:r>
      <w:r w:rsidRPr="00B25BB6">
        <w:rPr>
          <w:rFonts w:ascii="Tahoma" w:hAnsi="Tahoma" w:cs="Tahoma"/>
          <w:sz w:val="20"/>
        </w:rPr>
        <w:t xml:space="preserve"> </w:t>
      </w:r>
      <w:r w:rsidR="00CA3FB6">
        <w:rPr>
          <w:rFonts w:ascii="Tahoma" w:hAnsi="Tahoma" w:cs="Tahoma"/>
          <w:b/>
          <w:bCs/>
          <w:sz w:val="20"/>
        </w:rPr>
        <w:fldChar w:fldCharType="begin"/>
      </w:r>
      <w:r w:rsidR="00CA3FB6">
        <w:rPr>
          <w:rFonts w:ascii="Tahoma" w:hAnsi="Tahoma" w:cs="Tahoma"/>
          <w:b/>
          <w:bCs/>
          <w:sz w:val="20"/>
        </w:rPr>
        <w:instrText xml:space="preserve"> MERGEFIELD COMITÊ </w:instrText>
      </w:r>
      <w:r w:rsidR="00CA3FB6">
        <w:rPr>
          <w:rFonts w:ascii="Tahoma" w:hAnsi="Tahoma" w:cs="Tahoma"/>
          <w:b/>
          <w:bCs/>
          <w:sz w:val="20"/>
        </w:rPr>
        <w:fldChar w:fldCharType="separate"/>
      </w:r>
      <w:r w:rsidR="00A14265" w:rsidRPr="00BC514D">
        <w:rPr>
          <w:rFonts w:ascii="Tahoma" w:hAnsi="Tahoma" w:cs="Tahoma"/>
          <w:b/>
          <w:bCs/>
          <w:noProof/>
          <w:sz w:val="20"/>
        </w:rPr>
        <w:t>COMITÊ DE INVESTIMENTOS</w:t>
      </w:r>
      <w:r w:rsidR="00CA3FB6">
        <w:rPr>
          <w:rFonts w:ascii="Tahoma" w:hAnsi="Tahoma" w:cs="Tahoma"/>
          <w:b/>
          <w:bCs/>
          <w:sz w:val="20"/>
        </w:rPr>
        <w:fldChar w:fldCharType="end"/>
      </w:r>
      <w:r w:rsidRPr="00B25BB6">
        <w:rPr>
          <w:rFonts w:ascii="Tahoma" w:hAnsi="Tahoma" w:cs="Tahoma"/>
          <w:sz w:val="20"/>
        </w:rPr>
        <w:t xml:space="preserve"> deste RPPS, como órgão auxiliar no processo decisório quanto à execução da </w:t>
      </w:r>
      <w:r w:rsidR="007A0B11">
        <w:rPr>
          <w:rFonts w:ascii="Tahoma" w:hAnsi="Tahoma" w:cs="Tahoma"/>
          <w:sz w:val="20"/>
        </w:rPr>
        <w:t>Política de Investimentos</w:t>
      </w:r>
      <w:r w:rsidRPr="00B25BB6">
        <w:rPr>
          <w:rFonts w:ascii="Tahoma" w:hAnsi="Tahoma" w:cs="Tahoma"/>
          <w:sz w:val="20"/>
        </w:rPr>
        <w:t>, cujas decisões serão registradas em ata</w:t>
      </w:r>
      <w:r>
        <w:rPr>
          <w:rFonts w:ascii="Tahoma" w:hAnsi="Tahoma" w:cs="Tahoma"/>
          <w:sz w:val="20"/>
        </w:rPr>
        <w:t>. Ainda,</w:t>
      </w:r>
      <w:r w:rsidRPr="00B25BB6">
        <w:rPr>
          <w:rFonts w:ascii="Tahoma" w:hAnsi="Tahoma" w:cs="Tahoma"/>
          <w:sz w:val="20"/>
        </w:rPr>
        <w:t xml:space="preserve"> subscreve juntamente com o</w:t>
      </w:r>
      <w:r>
        <w:rPr>
          <w:rFonts w:ascii="Tahoma" w:hAnsi="Tahoma" w:cs="Tahoma"/>
          <w:sz w:val="20"/>
        </w:rPr>
        <w:t>s membros mencionados acima, o</w:t>
      </w:r>
      <w:r w:rsidRPr="00B25BB6">
        <w:rPr>
          <w:rFonts w:ascii="Tahoma" w:hAnsi="Tahoma" w:cs="Tahoma"/>
          <w:sz w:val="20"/>
        </w:rPr>
        <w:t xml:space="preserve"> </w:t>
      </w:r>
      <w:r w:rsidR="00CA3FB6">
        <w:rPr>
          <w:rFonts w:ascii="Tahoma" w:hAnsi="Tahoma" w:cs="Tahoma"/>
          <w:b/>
          <w:bCs/>
          <w:sz w:val="20"/>
        </w:rPr>
        <w:fldChar w:fldCharType="begin"/>
      </w:r>
      <w:r w:rsidR="00CA3FB6">
        <w:rPr>
          <w:rFonts w:ascii="Tahoma" w:hAnsi="Tahoma" w:cs="Tahoma"/>
          <w:b/>
          <w:bCs/>
          <w:sz w:val="20"/>
        </w:rPr>
        <w:instrText xml:space="preserve"> MERGEFIELD CONSELHO </w:instrText>
      </w:r>
      <w:r w:rsidR="00CA3FB6">
        <w:rPr>
          <w:rFonts w:ascii="Tahoma" w:hAnsi="Tahoma" w:cs="Tahoma"/>
          <w:b/>
          <w:bCs/>
          <w:sz w:val="20"/>
        </w:rPr>
        <w:fldChar w:fldCharType="separate"/>
      </w:r>
      <w:r w:rsidR="00A14265" w:rsidRPr="00BC514D">
        <w:rPr>
          <w:rFonts w:ascii="Tahoma" w:hAnsi="Tahoma" w:cs="Tahoma"/>
          <w:b/>
          <w:bCs/>
          <w:noProof/>
          <w:sz w:val="20"/>
        </w:rPr>
        <w:t>CONSELHO DE ADMINISTRAÇÃO DO FAPETRI</w:t>
      </w:r>
      <w:r w:rsidR="00CA3FB6">
        <w:rPr>
          <w:rFonts w:ascii="Tahoma" w:hAnsi="Tahoma" w:cs="Tahoma"/>
          <w:b/>
          <w:bCs/>
          <w:sz w:val="20"/>
        </w:rPr>
        <w:fldChar w:fldCharType="end"/>
      </w:r>
      <w:r w:rsidRPr="00B25BB6">
        <w:rPr>
          <w:rFonts w:ascii="Tahoma" w:hAnsi="Tahoma" w:cs="Tahoma"/>
          <w:sz w:val="20"/>
        </w:rPr>
        <w:t xml:space="preserve"> que terá o papel decisório</w:t>
      </w:r>
      <w:r w:rsidR="0095399B">
        <w:rPr>
          <w:rFonts w:ascii="Tahoma" w:hAnsi="Tahoma" w:cs="Tahoma"/>
          <w:sz w:val="20"/>
        </w:rPr>
        <w:t>,</w:t>
      </w:r>
      <w:r w:rsidRPr="00B25BB6">
        <w:rPr>
          <w:rFonts w:ascii="Tahoma" w:hAnsi="Tahoma" w:cs="Tahoma"/>
          <w:sz w:val="20"/>
        </w:rPr>
        <w:t xml:space="preserve"> </w:t>
      </w:r>
      <w:r w:rsidR="00E16EDA">
        <w:rPr>
          <w:rFonts w:ascii="Tahoma" w:hAnsi="Tahoma" w:cs="Tahoma"/>
          <w:sz w:val="20"/>
        </w:rPr>
        <w:t xml:space="preserve">conforme </w:t>
      </w:r>
      <w:r w:rsidR="00E16EDA" w:rsidRPr="007930C5">
        <w:rPr>
          <w:rFonts w:ascii="Tahoma" w:hAnsi="Tahoma" w:cs="Tahoma"/>
          <w:b/>
          <w:bCs/>
          <w:sz w:val="20"/>
        </w:rPr>
        <w:t xml:space="preserve">Art. 101 da Portaria MTP </w:t>
      </w:r>
      <w:r w:rsidR="007930C5" w:rsidRPr="007930C5">
        <w:rPr>
          <w:rFonts w:ascii="Tahoma" w:hAnsi="Tahoma" w:cs="Tahoma"/>
          <w:b/>
          <w:bCs/>
          <w:sz w:val="20"/>
        </w:rPr>
        <w:t>n°</w:t>
      </w:r>
      <w:r w:rsidR="007930C5">
        <w:rPr>
          <w:rFonts w:ascii="Tahoma" w:hAnsi="Tahoma" w:cs="Tahoma"/>
          <w:b/>
          <w:bCs/>
          <w:sz w:val="20"/>
        </w:rPr>
        <w:t xml:space="preserve"> </w:t>
      </w:r>
      <w:r w:rsidR="00E16EDA" w:rsidRPr="007930C5">
        <w:rPr>
          <w:rFonts w:ascii="Tahoma" w:hAnsi="Tahoma" w:cs="Tahoma"/>
          <w:b/>
          <w:bCs/>
          <w:sz w:val="20"/>
        </w:rPr>
        <w:t>1</w:t>
      </w:r>
      <w:r w:rsidR="007930C5">
        <w:rPr>
          <w:rFonts w:ascii="Tahoma" w:hAnsi="Tahoma" w:cs="Tahoma"/>
          <w:b/>
          <w:bCs/>
          <w:sz w:val="20"/>
        </w:rPr>
        <w:t>.</w:t>
      </w:r>
      <w:r w:rsidR="00E16EDA" w:rsidRPr="007930C5">
        <w:rPr>
          <w:rFonts w:ascii="Tahoma" w:hAnsi="Tahoma" w:cs="Tahoma"/>
          <w:b/>
          <w:bCs/>
          <w:sz w:val="20"/>
        </w:rPr>
        <w:t>467/2022</w:t>
      </w:r>
      <w:r w:rsidR="0095399B" w:rsidRPr="0095399B">
        <w:rPr>
          <w:rFonts w:ascii="Tahoma" w:hAnsi="Tahoma" w:cs="Tahoma"/>
          <w:sz w:val="20"/>
        </w:rPr>
        <w:t>,</w:t>
      </w:r>
      <w:r w:rsidR="00E16EDA">
        <w:rPr>
          <w:rFonts w:ascii="Tahoma" w:hAnsi="Tahoma" w:cs="Tahoma"/>
          <w:sz w:val="20"/>
        </w:rPr>
        <w:t xml:space="preserve"> </w:t>
      </w:r>
      <w:r w:rsidRPr="00B25BB6">
        <w:rPr>
          <w:rFonts w:ascii="Tahoma" w:hAnsi="Tahoma" w:cs="Tahoma"/>
          <w:sz w:val="20"/>
        </w:rPr>
        <w:t>sobre a aplicação das decisões aqui estabelecidas, devendo, também, registrar em ata a sua aprovação</w:t>
      </w:r>
      <w:r w:rsidR="00465C63" w:rsidRPr="00E8601E">
        <w:rPr>
          <w:rFonts w:ascii="Tahoma" w:hAnsi="Tahoma" w:cs="Tahoma"/>
          <w:b/>
          <w:sz w:val="20"/>
        </w:rPr>
        <w:t>.</w:t>
      </w:r>
    </w:p>
    <w:p w14:paraId="6484011F" w14:textId="77777777" w:rsidR="00465C63" w:rsidRPr="00E8601E" w:rsidRDefault="00465C63" w:rsidP="00A50E9C">
      <w:pPr>
        <w:spacing w:after="120"/>
        <w:jc w:val="both"/>
        <w:rPr>
          <w:rFonts w:ascii="Tahoma" w:hAnsi="Tahoma" w:cs="Tahoma"/>
          <w:sz w:val="20"/>
        </w:rPr>
      </w:pPr>
    </w:p>
    <w:p w14:paraId="29655A95" w14:textId="77777777" w:rsidR="00465C63" w:rsidRPr="00E8601E" w:rsidRDefault="00465C63" w:rsidP="00A50E9C">
      <w:pPr>
        <w:spacing w:after="120"/>
        <w:jc w:val="both"/>
        <w:rPr>
          <w:rFonts w:ascii="Tahoma" w:hAnsi="Tahoma" w:cs="Tahoma"/>
          <w:sz w:val="20"/>
        </w:rPr>
      </w:pPr>
    </w:p>
    <w:p w14:paraId="3050DC13" w14:textId="77777777" w:rsidR="00465C63" w:rsidRPr="00E8601E" w:rsidRDefault="00465C63" w:rsidP="00A50E9C">
      <w:pPr>
        <w:spacing w:after="120"/>
        <w:rPr>
          <w:rFonts w:ascii="Tahoma" w:hAnsi="Tahoma" w:cs="Tahoma"/>
          <w:sz w:val="20"/>
        </w:rPr>
      </w:pPr>
    </w:p>
    <w:p w14:paraId="2917857E" w14:textId="37D0B6C6" w:rsidR="00465C63" w:rsidRPr="008E3953" w:rsidRDefault="00BC7F77" w:rsidP="00A50E9C">
      <w:pPr>
        <w:spacing w:after="120"/>
        <w:rPr>
          <w:rFonts w:ascii="Tahoma" w:hAnsi="Tahoma" w:cs="Tahoma"/>
          <w:b/>
          <w:sz w:val="20"/>
          <w:szCs w:val="20"/>
        </w:rPr>
      </w:pPr>
      <w:r>
        <w:rPr>
          <w:rFonts w:ascii="Tahoma" w:hAnsi="Tahoma" w:cs="Tahoma"/>
          <w:b/>
          <w:noProof/>
          <w:sz w:val="20"/>
          <w:szCs w:val="20"/>
        </w:rPr>
        <w:fldChar w:fldCharType="begin"/>
      </w:r>
      <w:r>
        <w:rPr>
          <w:rFonts w:ascii="Tahoma" w:hAnsi="Tahoma" w:cs="Tahoma"/>
          <w:b/>
          <w:noProof/>
          <w:sz w:val="20"/>
          <w:szCs w:val="20"/>
        </w:rPr>
        <w:instrText xml:space="preserve"> MERGEFIELD NOME_DO_FUNDO </w:instrText>
      </w:r>
      <w:r>
        <w:rPr>
          <w:rFonts w:ascii="Tahoma" w:hAnsi="Tahoma" w:cs="Tahoma"/>
          <w:b/>
          <w:noProof/>
          <w:sz w:val="20"/>
          <w:szCs w:val="20"/>
        </w:rPr>
        <w:fldChar w:fldCharType="separate"/>
      </w:r>
      <w:r w:rsidR="00A14265" w:rsidRPr="00BC514D">
        <w:rPr>
          <w:rFonts w:ascii="Tahoma" w:hAnsi="Tahoma" w:cs="Tahoma"/>
          <w:b/>
          <w:noProof/>
          <w:sz w:val="20"/>
          <w:szCs w:val="20"/>
        </w:rPr>
        <w:t>FUNDO DE ASSISTÊNCIA E PREVIDÊNCIA DOS SERVIDORES ESTATUTÁRIOS DO MUNICÍPIO DE TRIUNFO – FAPETRI</w:t>
      </w:r>
      <w:r>
        <w:rPr>
          <w:rFonts w:ascii="Tahoma" w:hAnsi="Tahoma" w:cs="Tahoma"/>
          <w:b/>
          <w:noProof/>
          <w:sz w:val="20"/>
          <w:szCs w:val="20"/>
        </w:rPr>
        <w:fldChar w:fldCharType="end"/>
      </w:r>
    </w:p>
    <w:p w14:paraId="0668FC48" w14:textId="27103AFC" w:rsidR="00465C63" w:rsidRPr="008E3953" w:rsidRDefault="00465C63" w:rsidP="00A50E9C">
      <w:pPr>
        <w:spacing w:after="120"/>
        <w:rPr>
          <w:rFonts w:ascii="Tahoma" w:hAnsi="Tahoma" w:cs="Tahoma"/>
          <w:sz w:val="20"/>
          <w:szCs w:val="20"/>
        </w:rPr>
      </w:pPr>
      <w:r w:rsidRPr="008E3953">
        <w:rPr>
          <w:rFonts w:ascii="Tahoma" w:hAnsi="Tahoma" w:cs="Tahoma"/>
          <w:sz w:val="20"/>
          <w:szCs w:val="20"/>
        </w:rPr>
        <w:t xml:space="preserve">CNPJ: </w:t>
      </w:r>
      <w:r w:rsidR="00BC7F77">
        <w:rPr>
          <w:rFonts w:ascii="Tahoma" w:hAnsi="Tahoma" w:cs="Tahoma"/>
          <w:noProof/>
          <w:sz w:val="20"/>
          <w:szCs w:val="20"/>
        </w:rPr>
        <w:fldChar w:fldCharType="begin"/>
      </w:r>
      <w:r w:rsidR="00BC7F77">
        <w:rPr>
          <w:rFonts w:ascii="Tahoma" w:hAnsi="Tahoma" w:cs="Tahoma"/>
          <w:noProof/>
          <w:sz w:val="20"/>
          <w:szCs w:val="20"/>
        </w:rPr>
        <w:instrText xml:space="preserve"> MERGEFIELD CNPJ </w:instrText>
      </w:r>
      <w:r w:rsidR="00BC7F77">
        <w:rPr>
          <w:rFonts w:ascii="Tahoma" w:hAnsi="Tahoma" w:cs="Tahoma"/>
          <w:noProof/>
          <w:sz w:val="20"/>
          <w:szCs w:val="20"/>
        </w:rPr>
        <w:fldChar w:fldCharType="separate"/>
      </w:r>
      <w:r w:rsidR="00A14265" w:rsidRPr="00BC514D">
        <w:rPr>
          <w:rFonts w:ascii="Tahoma" w:hAnsi="Tahoma" w:cs="Tahoma"/>
          <w:noProof/>
          <w:sz w:val="20"/>
          <w:szCs w:val="20"/>
        </w:rPr>
        <w:t>13.746.560/0001-31</w:t>
      </w:r>
      <w:r w:rsidR="00BC7F77">
        <w:rPr>
          <w:rFonts w:ascii="Tahoma" w:hAnsi="Tahoma" w:cs="Tahoma"/>
          <w:noProof/>
          <w:sz w:val="20"/>
          <w:szCs w:val="20"/>
        </w:rPr>
        <w:fldChar w:fldCharType="end"/>
      </w:r>
    </w:p>
    <w:p w14:paraId="04A310E7" w14:textId="17011B3F" w:rsidR="00465C63" w:rsidRDefault="00BC7F77" w:rsidP="00A50E9C">
      <w:pPr>
        <w:spacing w:after="120"/>
        <w:rPr>
          <w:rFonts w:ascii="Tahoma" w:hAnsi="Tahoma" w:cs="Tahoma"/>
          <w:noProof/>
          <w:sz w:val="20"/>
          <w:szCs w:val="20"/>
        </w:rPr>
      </w:pPr>
      <w:r>
        <w:rPr>
          <w:rFonts w:ascii="Tahoma" w:hAnsi="Tahoma" w:cs="Tahoma"/>
          <w:noProof/>
          <w:sz w:val="20"/>
          <w:szCs w:val="20"/>
        </w:rPr>
        <w:fldChar w:fldCharType="begin"/>
      </w:r>
      <w:r>
        <w:rPr>
          <w:rFonts w:ascii="Tahoma" w:hAnsi="Tahoma" w:cs="Tahoma"/>
          <w:noProof/>
          <w:sz w:val="20"/>
          <w:szCs w:val="20"/>
        </w:rPr>
        <w:instrText xml:space="preserve"> MERGEFIELD ENDEREÇO </w:instrText>
      </w:r>
      <w:r>
        <w:rPr>
          <w:rFonts w:ascii="Tahoma" w:hAnsi="Tahoma" w:cs="Tahoma"/>
          <w:noProof/>
          <w:sz w:val="20"/>
          <w:szCs w:val="20"/>
        </w:rPr>
        <w:fldChar w:fldCharType="separate"/>
      </w:r>
      <w:r w:rsidR="00A14265" w:rsidRPr="00BC514D">
        <w:rPr>
          <w:rFonts w:ascii="Tahoma" w:hAnsi="Tahoma" w:cs="Tahoma"/>
          <w:noProof/>
          <w:sz w:val="20"/>
          <w:szCs w:val="20"/>
        </w:rPr>
        <w:t>Av. XV de Novembro, N° 15  - Centro - Triunfo</w:t>
      </w:r>
      <w:r>
        <w:rPr>
          <w:rFonts w:ascii="Tahoma" w:hAnsi="Tahoma" w:cs="Tahoma"/>
          <w:noProof/>
          <w:sz w:val="20"/>
          <w:szCs w:val="20"/>
        </w:rPr>
        <w:fldChar w:fldCharType="end"/>
      </w:r>
    </w:p>
    <w:p w14:paraId="322645E5" w14:textId="662B80CD" w:rsidR="00BC7F77" w:rsidRPr="008E3953" w:rsidRDefault="00BC7F77" w:rsidP="00A50E9C">
      <w:pPr>
        <w:spacing w:after="120"/>
        <w:rPr>
          <w:rFonts w:ascii="Tahoma" w:hAnsi="Tahoma" w:cs="Tahoma"/>
          <w:sz w:val="20"/>
          <w:szCs w:val="20"/>
        </w:rPr>
      </w:pPr>
      <w:r>
        <w:rPr>
          <w:rFonts w:ascii="Tahoma" w:hAnsi="Tahoma" w:cs="Tahoma"/>
          <w:noProof/>
          <w:sz w:val="20"/>
          <w:szCs w:val="20"/>
        </w:rPr>
        <w:fldChar w:fldCharType="begin"/>
      </w:r>
      <w:r>
        <w:rPr>
          <w:rFonts w:ascii="Tahoma" w:hAnsi="Tahoma" w:cs="Tahoma"/>
          <w:noProof/>
          <w:sz w:val="20"/>
          <w:szCs w:val="20"/>
        </w:rPr>
        <w:instrText xml:space="preserve"> MERGEFIELD CEP </w:instrText>
      </w:r>
      <w:r>
        <w:rPr>
          <w:rFonts w:ascii="Tahoma" w:hAnsi="Tahoma" w:cs="Tahoma"/>
          <w:noProof/>
          <w:sz w:val="20"/>
          <w:szCs w:val="20"/>
        </w:rPr>
        <w:fldChar w:fldCharType="separate"/>
      </w:r>
      <w:r w:rsidR="00A14265" w:rsidRPr="00BC514D">
        <w:rPr>
          <w:rFonts w:ascii="Tahoma" w:hAnsi="Tahoma" w:cs="Tahoma"/>
          <w:noProof/>
          <w:sz w:val="20"/>
          <w:szCs w:val="20"/>
        </w:rPr>
        <w:t>CEP 95840-000</w:t>
      </w:r>
      <w:r>
        <w:rPr>
          <w:rFonts w:ascii="Tahoma" w:hAnsi="Tahoma" w:cs="Tahoma"/>
          <w:noProof/>
          <w:sz w:val="20"/>
          <w:szCs w:val="20"/>
        </w:rPr>
        <w:fldChar w:fldCharType="end"/>
      </w:r>
    </w:p>
    <w:p w14:paraId="7ECC30FA" w14:textId="51866845" w:rsidR="00465C63" w:rsidRPr="008E3953" w:rsidRDefault="00BC7F77" w:rsidP="00A50E9C">
      <w:pPr>
        <w:spacing w:after="120"/>
        <w:rPr>
          <w:rFonts w:ascii="Tahoma" w:hAnsi="Tahoma" w:cs="Tahoma"/>
          <w:sz w:val="20"/>
          <w:szCs w:val="20"/>
        </w:rPr>
      </w:pPr>
      <w:r>
        <w:rPr>
          <w:rFonts w:ascii="Tahoma" w:hAnsi="Tahoma" w:cs="Tahoma"/>
          <w:noProof/>
          <w:sz w:val="20"/>
          <w:szCs w:val="20"/>
        </w:rPr>
        <w:fldChar w:fldCharType="begin"/>
      </w:r>
      <w:r>
        <w:rPr>
          <w:rFonts w:ascii="Tahoma" w:hAnsi="Tahoma" w:cs="Tahoma"/>
          <w:noProof/>
          <w:sz w:val="20"/>
          <w:szCs w:val="20"/>
        </w:rPr>
        <w:instrText xml:space="preserve"> MERGEFIELD UF </w:instrText>
      </w:r>
      <w:r>
        <w:rPr>
          <w:rFonts w:ascii="Tahoma" w:hAnsi="Tahoma" w:cs="Tahoma"/>
          <w:noProof/>
          <w:sz w:val="20"/>
          <w:szCs w:val="20"/>
        </w:rPr>
        <w:fldChar w:fldCharType="separate"/>
      </w:r>
      <w:r w:rsidR="00A14265" w:rsidRPr="00BC514D">
        <w:rPr>
          <w:rFonts w:ascii="Tahoma" w:hAnsi="Tahoma" w:cs="Tahoma"/>
          <w:noProof/>
          <w:sz w:val="20"/>
          <w:szCs w:val="20"/>
        </w:rPr>
        <w:t>RIO GRANDE DO SUL</w:t>
      </w:r>
      <w:r>
        <w:rPr>
          <w:rFonts w:ascii="Tahoma" w:hAnsi="Tahoma" w:cs="Tahoma"/>
          <w:noProof/>
          <w:sz w:val="20"/>
          <w:szCs w:val="20"/>
        </w:rPr>
        <w:fldChar w:fldCharType="end"/>
      </w:r>
    </w:p>
    <w:p w14:paraId="7A7FD676" w14:textId="3C838F36" w:rsidR="00465C63" w:rsidRPr="008E3953" w:rsidRDefault="00BC7F77" w:rsidP="00A50E9C">
      <w:pPr>
        <w:tabs>
          <w:tab w:val="left" w:pos="3390"/>
        </w:tabs>
        <w:spacing w:after="120"/>
        <w:rPr>
          <w:rFonts w:ascii="Tahoma" w:hAnsi="Tahoma" w:cs="Tahoma"/>
          <w:sz w:val="20"/>
          <w:szCs w:val="20"/>
        </w:rPr>
      </w:pPr>
      <w:r>
        <w:rPr>
          <w:rFonts w:ascii="Tahoma" w:hAnsi="Tahoma" w:cs="Tahoma"/>
          <w:noProof/>
          <w:sz w:val="20"/>
          <w:szCs w:val="20"/>
        </w:rPr>
        <w:fldChar w:fldCharType="begin"/>
      </w:r>
      <w:r>
        <w:rPr>
          <w:rFonts w:ascii="Tahoma" w:hAnsi="Tahoma" w:cs="Tahoma"/>
          <w:noProof/>
          <w:sz w:val="20"/>
          <w:szCs w:val="20"/>
        </w:rPr>
        <w:instrText xml:space="preserve"> MERGEFIELD TELEFONE </w:instrText>
      </w:r>
      <w:r>
        <w:rPr>
          <w:rFonts w:ascii="Tahoma" w:hAnsi="Tahoma" w:cs="Tahoma"/>
          <w:noProof/>
          <w:sz w:val="20"/>
          <w:szCs w:val="20"/>
        </w:rPr>
        <w:fldChar w:fldCharType="separate"/>
      </w:r>
      <w:r w:rsidR="00A14265" w:rsidRPr="00BC514D">
        <w:rPr>
          <w:rFonts w:ascii="Tahoma" w:hAnsi="Tahoma" w:cs="Tahoma"/>
          <w:noProof/>
          <w:sz w:val="20"/>
          <w:szCs w:val="20"/>
        </w:rPr>
        <w:t>(51) 365-44191</w:t>
      </w:r>
      <w:r>
        <w:rPr>
          <w:rFonts w:ascii="Tahoma" w:hAnsi="Tahoma" w:cs="Tahoma"/>
          <w:noProof/>
          <w:sz w:val="20"/>
          <w:szCs w:val="20"/>
        </w:rPr>
        <w:fldChar w:fldCharType="end"/>
      </w:r>
      <w:r w:rsidR="00465C63">
        <w:rPr>
          <w:rFonts w:ascii="Tahoma" w:hAnsi="Tahoma" w:cs="Tahoma"/>
          <w:sz w:val="20"/>
          <w:szCs w:val="20"/>
        </w:rPr>
        <w:tab/>
      </w:r>
    </w:p>
    <w:p w14:paraId="15535F96" w14:textId="458477D2" w:rsidR="000F7FA7" w:rsidRDefault="00BC7F77" w:rsidP="00A50E9C">
      <w:pPr>
        <w:spacing w:after="120"/>
        <w:rPr>
          <w:noProof/>
        </w:rPr>
      </w:pPr>
      <w:r>
        <w:rPr>
          <w:noProof/>
        </w:rPr>
        <w:fldChar w:fldCharType="begin"/>
      </w:r>
      <w:r>
        <w:rPr>
          <w:noProof/>
        </w:rPr>
        <w:instrText xml:space="preserve"> MERGEFIELD EMAIL_ </w:instrText>
      </w:r>
      <w:r>
        <w:rPr>
          <w:noProof/>
        </w:rPr>
        <w:fldChar w:fldCharType="separate"/>
      </w:r>
      <w:r w:rsidR="00A14265">
        <w:rPr>
          <w:noProof/>
        </w:rPr>
        <w:t>fapetri@triunfo.rs.gov.br</w:t>
      </w:r>
      <w:r>
        <w:rPr>
          <w:noProof/>
        </w:rPr>
        <w:fldChar w:fldCharType="end"/>
      </w:r>
    </w:p>
    <w:p w14:paraId="3AF4A8E9" w14:textId="77777777" w:rsidR="000F7FA7" w:rsidRDefault="000F7FA7">
      <w:pPr>
        <w:rPr>
          <w:noProof/>
        </w:rPr>
      </w:pPr>
      <w:r>
        <w:rPr>
          <w:noProof/>
        </w:rPr>
        <w:br w:type="page"/>
      </w:r>
    </w:p>
    <w:sdt>
      <w:sdtPr>
        <w:rPr>
          <w:rFonts w:asciiTheme="minorHAnsi" w:eastAsiaTheme="minorEastAsia" w:hAnsiTheme="minorHAnsi" w:cstheme="minorBidi"/>
          <w:color w:val="auto"/>
          <w:sz w:val="22"/>
          <w:szCs w:val="22"/>
        </w:rPr>
        <w:id w:val="-116059882"/>
        <w:docPartObj>
          <w:docPartGallery w:val="Table of Contents"/>
          <w:docPartUnique/>
        </w:docPartObj>
      </w:sdtPr>
      <w:sdtEndPr>
        <w:rPr>
          <w:b/>
          <w:bCs/>
        </w:rPr>
      </w:sdtEndPr>
      <w:sdtContent>
        <w:p w14:paraId="40ACF789" w14:textId="1C8D8746" w:rsidR="000C021C" w:rsidRDefault="000C021C">
          <w:pPr>
            <w:pStyle w:val="CabealhodoSumrio"/>
          </w:pPr>
          <w:r w:rsidRPr="000C021C">
            <w:rPr>
              <w:b/>
              <w:bCs/>
              <w:color w:val="002060"/>
            </w:rPr>
            <w:t>Sumário</w:t>
          </w:r>
        </w:p>
        <w:p w14:paraId="6D27E15F" w14:textId="10350DF7" w:rsidR="00A75E13" w:rsidRDefault="000C021C">
          <w:pPr>
            <w:pStyle w:val="Sumrio1"/>
            <w:tabs>
              <w:tab w:val="right" w:leader="dot" w:pos="9061"/>
            </w:tabs>
            <w:rPr>
              <w:b w:val="0"/>
              <w:bCs w:val="0"/>
              <w:caps w:val="0"/>
              <w:noProof/>
              <w:kern w:val="2"/>
              <w:sz w:val="22"/>
              <w:szCs w:val="22"/>
              <w14:ligatures w14:val="standardContextual"/>
            </w:rPr>
          </w:pPr>
          <w:r>
            <w:fldChar w:fldCharType="begin"/>
          </w:r>
          <w:r>
            <w:instrText xml:space="preserve"> TOC \o "1-3" \h \z \u </w:instrText>
          </w:r>
          <w:r>
            <w:fldChar w:fldCharType="separate"/>
          </w:r>
          <w:hyperlink w:anchor="_Toc181542552" w:history="1">
            <w:r w:rsidR="00A75E13" w:rsidRPr="00E4782B">
              <w:rPr>
                <w:noProof/>
              </w:rPr>
              <w:object w:dxaOrig="2425" w:dyaOrig="2598" w14:anchorId="764F9055">
                <v:shape id="_x0000_i1027" type="#_x0000_t75" style="width:9.75pt;height:9pt" o:ole="">
                  <v:imagedata r:id="rId11" o:title=""/>
                </v:shape>
                <o:OLEObject Type="Embed" ProgID="CorelDRAW.Graphic.13" ShapeID="_x0000_i1027" DrawAspect="Content" ObjectID="_1793685900" r:id="rId15"/>
              </w:object>
            </w:r>
            <w:r w:rsidR="00A75E13" w:rsidRPr="00A11CCD">
              <w:rPr>
                <w:rStyle w:val="Hyperlink"/>
                <w:noProof/>
              </w:rPr>
              <w:t xml:space="preserve"> </w:t>
            </w:r>
            <w:r w:rsidR="00A75E13" w:rsidRPr="00A11CCD">
              <w:rPr>
                <w:rStyle w:val="Hyperlink"/>
                <w:rFonts w:ascii="Tahoma" w:hAnsi="Tahoma" w:cs="Tahoma"/>
                <w:noProof/>
              </w:rPr>
              <w:t xml:space="preserve">APRESENTAÇÃO </w:t>
            </w:r>
            <w:r w:rsidR="00A75E13" w:rsidRPr="00E4782B">
              <w:rPr>
                <w:noProof/>
              </w:rPr>
              <w:object w:dxaOrig="3163" w:dyaOrig="3187" w14:anchorId="6560F866">
                <v:shape id="_x0000_i1028" type="#_x0000_t75" style="width:21.75pt;height:23.25pt" o:ole="">
                  <v:imagedata r:id="rId13" o:title=""/>
                </v:shape>
                <o:OLEObject Type="Embed" ProgID="CorelDRAW.Graphic.13" ShapeID="_x0000_i1028" DrawAspect="Content" ObjectID="_1793685901" r:id="rId16"/>
              </w:object>
            </w:r>
            <w:r w:rsidR="00A75E13">
              <w:rPr>
                <w:noProof/>
                <w:webHidden/>
              </w:rPr>
              <w:tab/>
            </w:r>
            <w:r w:rsidR="00A75E13">
              <w:rPr>
                <w:noProof/>
                <w:webHidden/>
              </w:rPr>
              <w:fldChar w:fldCharType="begin"/>
            </w:r>
            <w:r w:rsidR="00A75E13">
              <w:rPr>
                <w:noProof/>
                <w:webHidden/>
              </w:rPr>
              <w:instrText xml:space="preserve"> PAGEREF _Toc181542552 \h </w:instrText>
            </w:r>
            <w:r w:rsidR="00A75E13">
              <w:rPr>
                <w:noProof/>
                <w:webHidden/>
              </w:rPr>
            </w:r>
            <w:r w:rsidR="00A75E13">
              <w:rPr>
                <w:noProof/>
                <w:webHidden/>
              </w:rPr>
              <w:fldChar w:fldCharType="separate"/>
            </w:r>
            <w:r w:rsidR="00A75E13">
              <w:rPr>
                <w:noProof/>
                <w:webHidden/>
              </w:rPr>
              <w:t>5</w:t>
            </w:r>
            <w:r w:rsidR="00A75E13">
              <w:rPr>
                <w:noProof/>
                <w:webHidden/>
              </w:rPr>
              <w:fldChar w:fldCharType="end"/>
            </w:r>
          </w:hyperlink>
        </w:p>
        <w:p w14:paraId="2DFDDD05" w14:textId="09738515" w:rsidR="00A75E13" w:rsidRDefault="00A75E13">
          <w:pPr>
            <w:pStyle w:val="Sumrio2"/>
            <w:rPr>
              <w:rFonts w:asciiTheme="minorHAnsi" w:hAnsiTheme="minorHAnsi" w:cstheme="minorBidi"/>
              <w:smallCaps w:val="0"/>
              <w:kern w:val="2"/>
              <w:sz w:val="22"/>
              <w:szCs w:val="22"/>
              <w14:ligatures w14:val="standardContextual"/>
            </w:rPr>
          </w:pPr>
          <w:hyperlink w:anchor="_Toc181542553" w:history="1">
            <w:r w:rsidRPr="00A11CCD">
              <w:rPr>
                <w:rStyle w:val="Hyperlink"/>
              </w:rPr>
              <w:t>Do Objeto</w:t>
            </w:r>
            <w:r>
              <w:rPr>
                <w:webHidden/>
              </w:rPr>
              <w:tab/>
            </w:r>
            <w:r>
              <w:rPr>
                <w:webHidden/>
              </w:rPr>
              <w:fldChar w:fldCharType="begin"/>
            </w:r>
            <w:r>
              <w:rPr>
                <w:webHidden/>
              </w:rPr>
              <w:instrText xml:space="preserve"> PAGEREF _Toc181542553 \h </w:instrText>
            </w:r>
            <w:r>
              <w:rPr>
                <w:webHidden/>
              </w:rPr>
            </w:r>
            <w:r>
              <w:rPr>
                <w:webHidden/>
              </w:rPr>
              <w:fldChar w:fldCharType="separate"/>
            </w:r>
            <w:r>
              <w:rPr>
                <w:webHidden/>
              </w:rPr>
              <w:t>5</w:t>
            </w:r>
            <w:r>
              <w:rPr>
                <w:webHidden/>
              </w:rPr>
              <w:fldChar w:fldCharType="end"/>
            </w:r>
          </w:hyperlink>
        </w:p>
        <w:p w14:paraId="7F14C4AE" w14:textId="02439DB4" w:rsidR="00A75E13" w:rsidRDefault="00A75E13">
          <w:pPr>
            <w:pStyle w:val="Sumrio2"/>
            <w:rPr>
              <w:rFonts w:asciiTheme="minorHAnsi" w:hAnsiTheme="minorHAnsi" w:cstheme="minorBidi"/>
              <w:smallCaps w:val="0"/>
              <w:kern w:val="2"/>
              <w:sz w:val="22"/>
              <w:szCs w:val="22"/>
              <w14:ligatures w14:val="standardContextual"/>
            </w:rPr>
          </w:pPr>
          <w:hyperlink w:anchor="_Toc181542554" w:history="1">
            <w:r w:rsidRPr="00A11CCD">
              <w:rPr>
                <w:rStyle w:val="Hyperlink"/>
              </w:rPr>
              <w:t>Da Administração</w:t>
            </w:r>
            <w:r>
              <w:rPr>
                <w:webHidden/>
              </w:rPr>
              <w:tab/>
            </w:r>
            <w:r>
              <w:rPr>
                <w:webHidden/>
              </w:rPr>
              <w:fldChar w:fldCharType="begin"/>
            </w:r>
            <w:r>
              <w:rPr>
                <w:webHidden/>
              </w:rPr>
              <w:instrText xml:space="preserve"> PAGEREF _Toc181542554 \h </w:instrText>
            </w:r>
            <w:r>
              <w:rPr>
                <w:webHidden/>
              </w:rPr>
            </w:r>
            <w:r>
              <w:rPr>
                <w:webHidden/>
              </w:rPr>
              <w:fldChar w:fldCharType="separate"/>
            </w:r>
            <w:r>
              <w:rPr>
                <w:webHidden/>
              </w:rPr>
              <w:t>5</w:t>
            </w:r>
            <w:r>
              <w:rPr>
                <w:webHidden/>
              </w:rPr>
              <w:fldChar w:fldCharType="end"/>
            </w:r>
          </w:hyperlink>
        </w:p>
        <w:p w14:paraId="5ACA4C6F" w14:textId="11939541" w:rsidR="00A75E13" w:rsidRDefault="00A75E13">
          <w:pPr>
            <w:pStyle w:val="Sumrio2"/>
            <w:rPr>
              <w:rFonts w:asciiTheme="minorHAnsi" w:hAnsiTheme="minorHAnsi" w:cstheme="minorBidi"/>
              <w:smallCaps w:val="0"/>
              <w:kern w:val="2"/>
              <w:sz w:val="22"/>
              <w:szCs w:val="22"/>
              <w14:ligatures w14:val="standardContextual"/>
            </w:rPr>
          </w:pPr>
          <w:hyperlink w:anchor="_Toc181542555" w:history="1">
            <w:r w:rsidRPr="00A11CCD">
              <w:rPr>
                <w:rStyle w:val="Hyperlink"/>
              </w:rPr>
              <w:t>Da Organização do Documento</w:t>
            </w:r>
            <w:r>
              <w:rPr>
                <w:webHidden/>
              </w:rPr>
              <w:tab/>
            </w:r>
            <w:r>
              <w:rPr>
                <w:webHidden/>
              </w:rPr>
              <w:fldChar w:fldCharType="begin"/>
            </w:r>
            <w:r>
              <w:rPr>
                <w:webHidden/>
              </w:rPr>
              <w:instrText xml:space="preserve"> PAGEREF _Toc181542555 \h </w:instrText>
            </w:r>
            <w:r>
              <w:rPr>
                <w:webHidden/>
              </w:rPr>
            </w:r>
            <w:r>
              <w:rPr>
                <w:webHidden/>
              </w:rPr>
              <w:fldChar w:fldCharType="separate"/>
            </w:r>
            <w:r>
              <w:rPr>
                <w:webHidden/>
              </w:rPr>
              <w:t>5</w:t>
            </w:r>
            <w:r>
              <w:rPr>
                <w:webHidden/>
              </w:rPr>
              <w:fldChar w:fldCharType="end"/>
            </w:r>
          </w:hyperlink>
        </w:p>
        <w:p w14:paraId="1DE316AB" w14:textId="68C2AA81" w:rsidR="00A75E13" w:rsidRDefault="00A75E13">
          <w:pPr>
            <w:pStyle w:val="Sumrio1"/>
            <w:tabs>
              <w:tab w:val="right" w:leader="dot" w:pos="9061"/>
            </w:tabs>
            <w:rPr>
              <w:b w:val="0"/>
              <w:bCs w:val="0"/>
              <w:caps w:val="0"/>
              <w:noProof/>
              <w:kern w:val="2"/>
              <w:sz w:val="22"/>
              <w:szCs w:val="22"/>
              <w14:ligatures w14:val="standardContextual"/>
            </w:rPr>
          </w:pPr>
          <w:hyperlink w:anchor="_Toc181542556" w:history="1">
            <w:r w:rsidRPr="00E4782B">
              <w:rPr>
                <w:noProof/>
              </w:rPr>
              <w:object w:dxaOrig="2425" w:dyaOrig="2598" w14:anchorId="54265412">
                <v:shape id="_x0000_i1029" type="#_x0000_t75" style="width:9.75pt;height:9pt" o:ole="">
                  <v:imagedata r:id="rId11" o:title=""/>
                </v:shape>
                <o:OLEObject Type="Embed" ProgID="CorelDRAW.Graphic.13" ShapeID="_x0000_i1029" DrawAspect="Content" ObjectID="_1793685902" r:id="rId17"/>
              </w:object>
            </w:r>
            <w:r w:rsidRPr="00A11CCD">
              <w:rPr>
                <w:rStyle w:val="Hyperlink"/>
                <w:noProof/>
              </w:rPr>
              <w:t xml:space="preserve">VIGÊNCIA E OBJETIVOS DA POLÍTICA DE INVESTIMENTOS 2025 </w:t>
            </w:r>
            <w:r w:rsidRPr="00E8601E">
              <w:rPr>
                <w:noProof/>
              </w:rPr>
              <w:object w:dxaOrig="3163" w:dyaOrig="3187" w14:anchorId="5D740969">
                <v:shape id="_x0000_i1030" type="#_x0000_t75" style="width:21.75pt;height:23.25pt" o:ole="">
                  <v:imagedata r:id="rId13" o:title=""/>
                </v:shape>
                <o:OLEObject Type="Embed" ProgID="CorelDRAW.Graphic.13" ShapeID="_x0000_i1030" DrawAspect="Content" ObjectID="_1793685903" r:id="rId18"/>
              </w:object>
            </w:r>
            <w:r>
              <w:rPr>
                <w:noProof/>
                <w:webHidden/>
              </w:rPr>
              <w:tab/>
            </w:r>
            <w:r>
              <w:rPr>
                <w:noProof/>
                <w:webHidden/>
              </w:rPr>
              <w:fldChar w:fldCharType="begin"/>
            </w:r>
            <w:r>
              <w:rPr>
                <w:noProof/>
                <w:webHidden/>
              </w:rPr>
              <w:instrText xml:space="preserve"> PAGEREF _Toc181542556 \h </w:instrText>
            </w:r>
            <w:r>
              <w:rPr>
                <w:noProof/>
                <w:webHidden/>
              </w:rPr>
            </w:r>
            <w:r>
              <w:rPr>
                <w:noProof/>
                <w:webHidden/>
              </w:rPr>
              <w:fldChar w:fldCharType="separate"/>
            </w:r>
            <w:r>
              <w:rPr>
                <w:noProof/>
                <w:webHidden/>
              </w:rPr>
              <w:t>6</w:t>
            </w:r>
            <w:r>
              <w:rPr>
                <w:noProof/>
                <w:webHidden/>
              </w:rPr>
              <w:fldChar w:fldCharType="end"/>
            </w:r>
          </w:hyperlink>
        </w:p>
        <w:p w14:paraId="2BE95785" w14:textId="245B0A0F" w:rsidR="00A75E13" w:rsidRDefault="00A75E13">
          <w:pPr>
            <w:pStyle w:val="Sumrio2"/>
            <w:rPr>
              <w:rFonts w:asciiTheme="minorHAnsi" w:hAnsiTheme="minorHAnsi" w:cstheme="minorBidi"/>
              <w:smallCaps w:val="0"/>
              <w:kern w:val="2"/>
              <w:sz w:val="22"/>
              <w:szCs w:val="22"/>
              <w14:ligatures w14:val="standardContextual"/>
            </w:rPr>
          </w:pPr>
          <w:hyperlink w:anchor="_Toc181542557" w:history="1">
            <w:r w:rsidRPr="00A11CCD">
              <w:rPr>
                <w:rStyle w:val="Hyperlink"/>
              </w:rPr>
              <w:t>Da Vigência</w:t>
            </w:r>
            <w:r>
              <w:rPr>
                <w:webHidden/>
              </w:rPr>
              <w:tab/>
            </w:r>
            <w:r>
              <w:rPr>
                <w:webHidden/>
              </w:rPr>
              <w:fldChar w:fldCharType="begin"/>
            </w:r>
            <w:r>
              <w:rPr>
                <w:webHidden/>
              </w:rPr>
              <w:instrText xml:space="preserve"> PAGEREF _Toc181542557 \h </w:instrText>
            </w:r>
            <w:r>
              <w:rPr>
                <w:webHidden/>
              </w:rPr>
            </w:r>
            <w:r>
              <w:rPr>
                <w:webHidden/>
              </w:rPr>
              <w:fldChar w:fldCharType="separate"/>
            </w:r>
            <w:r>
              <w:rPr>
                <w:webHidden/>
              </w:rPr>
              <w:t>6</w:t>
            </w:r>
            <w:r>
              <w:rPr>
                <w:webHidden/>
              </w:rPr>
              <w:fldChar w:fldCharType="end"/>
            </w:r>
          </w:hyperlink>
        </w:p>
        <w:p w14:paraId="31CF420A" w14:textId="6B5ED223" w:rsidR="00A75E13" w:rsidRDefault="00A75E13">
          <w:pPr>
            <w:pStyle w:val="Sumrio2"/>
            <w:rPr>
              <w:rFonts w:asciiTheme="minorHAnsi" w:hAnsiTheme="minorHAnsi" w:cstheme="minorBidi"/>
              <w:smallCaps w:val="0"/>
              <w:kern w:val="2"/>
              <w:sz w:val="22"/>
              <w:szCs w:val="22"/>
              <w14:ligatures w14:val="standardContextual"/>
            </w:rPr>
          </w:pPr>
          <w:hyperlink w:anchor="_Toc181542558" w:history="1">
            <w:r w:rsidRPr="00A11CCD">
              <w:rPr>
                <w:rStyle w:val="Hyperlink"/>
              </w:rPr>
              <w:t>Dos Objetivos</w:t>
            </w:r>
            <w:r>
              <w:rPr>
                <w:webHidden/>
              </w:rPr>
              <w:tab/>
            </w:r>
            <w:r>
              <w:rPr>
                <w:webHidden/>
              </w:rPr>
              <w:fldChar w:fldCharType="begin"/>
            </w:r>
            <w:r>
              <w:rPr>
                <w:webHidden/>
              </w:rPr>
              <w:instrText xml:space="preserve"> PAGEREF _Toc181542558 \h </w:instrText>
            </w:r>
            <w:r>
              <w:rPr>
                <w:webHidden/>
              </w:rPr>
            </w:r>
            <w:r>
              <w:rPr>
                <w:webHidden/>
              </w:rPr>
              <w:fldChar w:fldCharType="separate"/>
            </w:r>
            <w:r>
              <w:rPr>
                <w:webHidden/>
              </w:rPr>
              <w:t>6</w:t>
            </w:r>
            <w:r>
              <w:rPr>
                <w:webHidden/>
              </w:rPr>
              <w:fldChar w:fldCharType="end"/>
            </w:r>
          </w:hyperlink>
        </w:p>
        <w:p w14:paraId="7725405D" w14:textId="31F3CE10" w:rsidR="00A75E13" w:rsidRDefault="00A75E13">
          <w:pPr>
            <w:pStyle w:val="Sumrio1"/>
            <w:tabs>
              <w:tab w:val="right" w:leader="dot" w:pos="9061"/>
            </w:tabs>
            <w:rPr>
              <w:b w:val="0"/>
              <w:bCs w:val="0"/>
              <w:caps w:val="0"/>
              <w:noProof/>
              <w:kern w:val="2"/>
              <w:sz w:val="22"/>
              <w:szCs w:val="22"/>
              <w14:ligatures w14:val="standardContextual"/>
            </w:rPr>
          </w:pPr>
          <w:hyperlink w:anchor="_Toc181542559" w:history="1">
            <w:r w:rsidRPr="00A75E13">
              <w:rPr>
                <w:b w:val="0"/>
                <w:bCs w:val="0"/>
                <w:noProof/>
              </w:rPr>
              <w:object w:dxaOrig="2425" w:dyaOrig="2598" w14:anchorId="4799D6F0">
                <v:shape id="_x0000_i1031" type="#_x0000_t75" style="width:9.75pt;height:9pt" o:ole="">
                  <v:imagedata r:id="rId11" o:title=""/>
                </v:shape>
                <o:OLEObject Type="Embed" ProgID="CorelDRAW.Graphic.13" ShapeID="_x0000_i1031" DrawAspect="Content" ObjectID="_1793685904" r:id="rId19"/>
              </w:object>
            </w:r>
            <w:r w:rsidRPr="00A11CCD">
              <w:rPr>
                <w:rStyle w:val="Hyperlink"/>
                <w:noProof/>
              </w:rPr>
              <w:t xml:space="preserve">MODELO DE GESTÃO E SERVIÇOS ESPECIALIZADOS </w:t>
            </w:r>
            <w:r w:rsidRPr="00D31186">
              <w:rPr>
                <w:noProof/>
              </w:rPr>
              <w:object w:dxaOrig="3163" w:dyaOrig="3187" w14:anchorId="73D78E33">
                <v:shape id="_x0000_i1032" type="#_x0000_t75" style="width:21.75pt;height:23.25pt" o:ole="">
                  <v:imagedata r:id="rId13" o:title=""/>
                </v:shape>
                <o:OLEObject Type="Embed" ProgID="CorelDRAW.Graphic.13" ShapeID="_x0000_i1032" DrawAspect="Content" ObjectID="_1793685905" r:id="rId20"/>
              </w:object>
            </w:r>
            <w:r>
              <w:rPr>
                <w:noProof/>
                <w:webHidden/>
              </w:rPr>
              <w:tab/>
            </w:r>
            <w:r>
              <w:rPr>
                <w:noProof/>
                <w:webHidden/>
              </w:rPr>
              <w:fldChar w:fldCharType="begin"/>
            </w:r>
            <w:r>
              <w:rPr>
                <w:noProof/>
                <w:webHidden/>
              </w:rPr>
              <w:instrText xml:space="preserve"> PAGEREF _Toc181542559 \h </w:instrText>
            </w:r>
            <w:r>
              <w:rPr>
                <w:noProof/>
                <w:webHidden/>
              </w:rPr>
            </w:r>
            <w:r>
              <w:rPr>
                <w:noProof/>
                <w:webHidden/>
              </w:rPr>
              <w:fldChar w:fldCharType="separate"/>
            </w:r>
            <w:r>
              <w:rPr>
                <w:noProof/>
                <w:webHidden/>
              </w:rPr>
              <w:t>7</w:t>
            </w:r>
            <w:r>
              <w:rPr>
                <w:noProof/>
                <w:webHidden/>
              </w:rPr>
              <w:fldChar w:fldCharType="end"/>
            </w:r>
          </w:hyperlink>
        </w:p>
        <w:p w14:paraId="6B231B9B" w14:textId="2B6C7404" w:rsidR="00A75E13" w:rsidRDefault="00A75E13">
          <w:pPr>
            <w:pStyle w:val="Sumrio2"/>
            <w:rPr>
              <w:rFonts w:asciiTheme="minorHAnsi" w:hAnsiTheme="minorHAnsi" w:cstheme="minorBidi"/>
              <w:smallCaps w:val="0"/>
              <w:kern w:val="2"/>
              <w:sz w:val="22"/>
              <w:szCs w:val="22"/>
              <w14:ligatures w14:val="standardContextual"/>
            </w:rPr>
          </w:pPr>
          <w:hyperlink w:anchor="_Toc181542560" w:history="1">
            <w:r w:rsidRPr="00A11CCD">
              <w:rPr>
                <w:rStyle w:val="Hyperlink"/>
              </w:rPr>
              <w:t>Do Modelo de Gestão</w:t>
            </w:r>
            <w:r>
              <w:rPr>
                <w:webHidden/>
              </w:rPr>
              <w:tab/>
            </w:r>
            <w:r>
              <w:rPr>
                <w:webHidden/>
              </w:rPr>
              <w:fldChar w:fldCharType="begin"/>
            </w:r>
            <w:r>
              <w:rPr>
                <w:webHidden/>
              </w:rPr>
              <w:instrText xml:space="preserve"> PAGEREF _Toc181542560 \h </w:instrText>
            </w:r>
            <w:r>
              <w:rPr>
                <w:webHidden/>
              </w:rPr>
            </w:r>
            <w:r>
              <w:rPr>
                <w:webHidden/>
              </w:rPr>
              <w:fldChar w:fldCharType="separate"/>
            </w:r>
            <w:r>
              <w:rPr>
                <w:webHidden/>
              </w:rPr>
              <w:t>7</w:t>
            </w:r>
            <w:r>
              <w:rPr>
                <w:webHidden/>
              </w:rPr>
              <w:fldChar w:fldCharType="end"/>
            </w:r>
          </w:hyperlink>
        </w:p>
        <w:p w14:paraId="3CE6F1D6" w14:textId="43B5FCEE" w:rsidR="00A75E13" w:rsidRDefault="00A75E13">
          <w:pPr>
            <w:pStyle w:val="Sumrio2"/>
            <w:rPr>
              <w:rFonts w:asciiTheme="minorHAnsi" w:hAnsiTheme="minorHAnsi" w:cstheme="minorBidi"/>
              <w:smallCaps w:val="0"/>
              <w:kern w:val="2"/>
              <w:sz w:val="22"/>
              <w:szCs w:val="22"/>
              <w14:ligatures w14:val="standardContextual"/>
            </w:rPr>
          </w:pPr>
          <w:hyperlink w:anchor="_Toc181542561" w:history="1">
            <w:r w:rsidRPr="00A11CCD">
              <w:rPr>
                <w:rStyle w:val="Hyperlink"/>
              </w:rPr>
              <w:t>Dos Serviços Especializados</w:t>
            </w:r>
            <w:r>
              <w:rPr>
                <w:webHidden/>
              </w:rPr>
              <w:tab/>
            </w:r>
            <w:r>
              <w:rPr>
                <w:webHidden/>
              </w:rPr>
              <w:fldChar w:fldCharType="begin"/>
            </w:r>
            <w:r>
              <w:rPr>
                <w:webHidden/>
              </w:rPr>
              <w:instrText xml:space="preserve"> PAGEREF _Toc181542561 \h </w:instrText>
            </w:r>
            <w:r>
              <w:rPr>
                <w:webHidden/>
              </w:rPr>
            </w:r>
            <w:r>
              <w:rPr>
                <w:webHidden/>
              </w:rPr>
              <w:fldChar w:fldCharType="separate"/>
            </w:r>
            <w:r>
              <w:rPr>
                <w:webHidden/>
              </w:rPr>
              <w:t>7</w:t>
            </w:r>
            <w:r>
              <w:rPr>
                <w:webHidden/>
              </w:rPr>
              <w:fldChar w:fldCharType="end"/>
            </w:r>
          </w:hyperlink>
        </w:p>
        <w:p w14:paraId="02D86135" w14:textId="593D10A6" w:rsidR="00A75E13" w:rsidRDefault="00A75E13">
          <w:pPr>
            <w:pStyle w:val="Sumrio1"/>
            <w:tabs>
              <w:tab w:val="right" w:leader="dot" w:pos="9061"/>
            </w:tabs>
            <w:rPr>
              <w:b w:val="0"/>
              <w:bCs w:val="0"/>
              <w:caps w:val="0"/>
              <w:noProof/>
              <w:kern w:val="2"/>
              <w:sz w:val="22"/>
              <w:szCs w:val="22"/>
              <w14:ligatures w14:val="standardContextual"/>
            </w:rPr>
          </w:pPr>
          <w:hyperlink w:anchor="_Toc181542562" w:history="1">
            <w:r w:rsidRPr="00D31186">
              <w:rPr>
                <w:noProof/>
              </w:rPr>
              <w:object w:dxaOrig="2425" w:dyaOrig="2598" w14:anchorId="2F7732A4">
                <v:shape id="_x0000_i1033" type="#_x0000_t75" style="width:9.75pt;height:9pt" o:ole="">
                  <v:imagedata r:id="rId11" o:title=""/>
                </v:shape>
                <o:OLEObject Type="Embed" ProgID="CorelDRAW.Graphic.13" ShapeID="_x0000_i1033" DrawAspect="Content" ObjectID="_1793685906" r:id="rId21"/>
              </w:object>
            </w:r>
            <w:r w:rsidRPr="00A11CCD">
              <w:rPr>
                <w:rStyle w:val="Hyperlink"/>
                <w:rFonts w:ascii="Tahoma" w:hAnsi="Tahoma" w:cs="Tahoma"/>
                <w:noProof/>
              </w:rPr>
              <w:t xml:space="preserve">ASPECTOS LEGAIS DA RESOLUÇÃO CMN Nº 4.963/2021 </w:t>
            </w:r>
            <w:r w:rsidRPr="00D31186">
              <w:rPr>
                <w:noProof/>
              </w:rPr>
              <w:object w:dxaOrig="3163" w:dyaOrig="3187" w14:anchorId="0ADE77A7">
                <v:shape id="_x0000_i1034" type="#_x0000_t75" style="width:18.75pt;height:18.75pt" o:ole="">
                  <v:imagedata r:id="rId13" o:title=""/>
                </v:shape>
                <o:OLEObject Type="Embed" ProgID="CorelDRAW.Graphic.13" ShapeID="_x0000_i1034" DrawAspect="Content" ObjectID="_1793685907" r:id="rId22"/>
              </w:object>
            </w:r>
            <w:r>
              <w:rPr>
                <w:noProof/>
                <w:webHidden/>
              </w:rPr>
              <w:tab/>
            </w:r>
            <w:r>
              <w:rPr>
                <w:noProof/>
                <w:webHidden/>
              </w:rPr>
              <w:fldChar w:fldCharType="begin"/>
            </w:r>
            <w:r>
              <w:rPr>
                <w:noProof/>
                <w:webHidden/>
              </w:rPr>
              <w:instrText xml:space="preserve"> PAGEREF _Toc181542562 \h </w:instrText>
            </w:r>
            <w:r>
              <w:rPr>
                <w:noProof/>
                <w:webHidden/>
              </w:rPr>
            </w:r>
            <w:r>
              <w:rPr>
                <w:noProof/>
                <w:webHidden/>
              </w:rPr>
              <w:fldChar w:fldCharType="separate"/>
            </w:r>
            <w:r>
              <w:rPr>
                <w:noProof/>
                <w:webHidden/>
              </w:rPr>
              <w:t>8</w:t>
            </w:r>
            <w:r>
              <w:rPr>
                <w:noProof/>
                <w:webHidden/>
              </w:rPr>
              <w:fldChar w:fldCharType="end"/>
            </w:r>
          </w:hyperlink>
        </w:p>
        <w:p w14:paraId="4215E627" w14:textId="49D4E785" w:rsidR="00A75E13" w:rsidRDefault="00A75E13">
          <w:pPr>
            <w:pStyle w:val="Sumrio1"/>
            <w:tabs>
              <w:tab w:val="right" w:leader="dot" w:pos="9061"/>
            </w:tabs>
            <w:rPr>
              <w:b w:val="0"/>
              <w:bCs w:val="0"/>
              <w:caps w:val="0"/>
              <w:noProof/>
              <w:kern w:val="2"/>
              <w:sz w:val="22"/>
              <w:szCs w:val="22"/>
              <w14:ligatures w14:val="standardContextual"/>
            </w:rPr>
          </w:pPr>
          <w:hyperlink w:anchor="_Toc181542563" w:history="1">
            <w:r w:rsidRPr="00E4782B">
              <w:rPr>
                <w:noProof/>
              </w:rPr>
              <w:object w:dxaOrig="2425" w:dyaOrig="2598" w14:anchorId="13A0EC61">
                <v:shape id="_x0000_i1035" type="#_x0000_t75" style="width:9.75pt;height:9pt" o:ole="">
                  <v:imagedata r:id="rId11" o:title=""/>
                </v:shape>
                <o:OLEObject Type="Embed" ProgID="CorelDRAW.Graphic.13" ShapeID="_x0000_i1035" DrawAspect="Content" ObjectID="_1793685908" r:id="rId23"/>
              </w:object>
            </w:r>
            <w:r w:rsidRPr="00A11CCD">
              <w:rPr>
                <w:rStyle w:val="Hyperlink"/>
                <w:noProof/>
              </w:rPr>
              <w:t xml:space="preserve">CONJUNTURA ECONÔMICA E ANÁLISE DE MERCADO </w:t>
            </w:r>
            <w:r w:rsidRPr="00E8601E">
              <w:rPr>
                <w:rFonts w:ascii="Tahoma" w:hAnsi="Tahoma" w:cs="Tahoma"/>
                <w:noProof/>
              </w:rPr>
              <w:object w:dxaOrig="3163" w:dyaOrig="3187" w14:anchorId="1F990D3F">
                <v:shape id="_x0000_i1036" type="#_x0000_t75" style="width:21.75pt;height:23.25pt" o:ole="">
                  <v:imagedata r:id="rId13" o:title=""/>
                </v:shape>
                <o:OLEObject Type="Embed" ProgID="CorelDRAW.Graphic.13" ShapeID="_x0000_i1036" DrawAspect="Content" ObjectID="_1793685909" r:id="rId24"/>
              </w:object>
            </w:r>
            <w:r>
              <w:rPr>
                <w:noProof/>
                <w:webHidden/>
              </w:rPr>
              <w:tab/>
            </w:r>
            <w:r>
              <w:rPr>
                <w:noProof/>
                <w:webHidden/>
              </w:rPr>
              <w:fldChar w:fldCharType="begin"/>
            </w:r>
            <w:r>
              <w:rPr>
                <w:noProof/>
                <w:webHidden/>
              </w:rPr>
              <w:instrText xml:space="preserve"> PAGEREF _Toc181542563 \h </w:instrText>
            </w:r>
            <w:r>
              <w:rPr>
                <w:noProof/>
                <w:webHidden/>
              </w:rPr>
            </w:r>
            <w:r>
              <w:rPr>
                <w:noProof/>
                <w:webHidden/>
              </w:rPr>
              <w:fldChar w:fldCharType="separate"/>
            </w:r>
            <w:r>
              <w:rPr>
                <w:noProof/>
                <w:webHidden/>
              </w:rPr>
              <w:t>9</w:t>
            </w:r>
            <w:r>
              <w:rPr>
                <w:noProof/>
                <w:webHidden/>
              </w:rPr>
              <w:fldChar w:fldCharType="end"/>
            </w:r>
          </w:hyperlink>
        </w:p>
        <w:p w14:paraId="5D2B2CFA" w14:textId="14737F37" w:rsidR="00A75E13" w:rsidRDefault="00A75E13">
          <w:pPr>
            <w:pStyle w:val="Sumrio2"/>
            <w:rPr>
              <w:rFonts w:asciiTheme="minorHAnsi" w:hAnsiTheme="minorHAnsi" w:cstheme="minorBidi"/>
              <w:smallCaps w:val="0"/>
              <w:kern w:val="2"/>
              <w:sz w:val="22"/>
              <w:szCs w:val="22"/>
              <w14:ligatures w14:val="standardContextual"/>
            </w:rPr>
          </w:pPr>
          <w:hyperlink w:anchor="_Toc181542564" w:history="1">
            <w:r w:rsidRPr="00A11CCD">
              <w:rPr>
                <w:rStyle w:val="Hyperlink"/>
                <w:b/>
              </w:rPr>
              <w:t>Análise e Projeções 2024/2025</w:t>
            </w:r>
            <w:r>
              <w:rPr>
                <w:webHidden/>
              </w:rPr>
              <w:tab/>
            </w:r>
            <w:r>
              <w:rPr>
                <w:webHidden/>
              </w:rPr>
              <w:fldChar w:fldCharType="begin"/>
            </w:r>
            <w:r>
              <w:rPr>
                <w:webHidden/>
              </w:rPr>
              <w:instrText xml:space="preserve"> PAGEREF _Toc181542564 \h </w:instrText>
            </w:r>
            <w:r>
              <w:rPr>
                <w:webHidden/>
              </w:rPr>
            </w:r>
            <w:r>
              <w:rPr>
                <w:webHidden/>
              </w:rPr>
              <w:fldChar w:fldCharType="separate"/>
            </w:r>
            <w:r>
              <w:rPr>
                <w:webHidden/>
              </w:rPr>
              <w:t>10</w:t>
            </w:r>
            <w:r>
              <w:rPr>
                <w:webHidden/>
              </w:rPr>
              <w:fldChar w:fldCharType="end"/>
            </w:r>
          </w:hyperlink>
        </w:p>
        <w:p w14:paraId="5C695640" w14:textId="3B37104F" w:rsidR="00A75E13" w:rsidRDefault="00A75E13">
          <w:pPr>
            <w:pStyle w:val="Sumrio2"/>
            <w:rPr>
              <w:rFonts w:asciiTheme="minorHAnsi" w:hAnsiTheme="minorHAnsi" w:cstheme="minorBidi"/>
              <w:smallCaps w:val="0"/>
              <w:kern w:val="2"/>
              <w:sz w:val="22"/>
              <w:szCs w:val="22"/>
              <w14:ligatures w14:val="standardContextual"/>
            </w:rPr>
          </w:pPr>
          <w:hyperlink w:anchor="_Toc181542565" w:history="1">
            <w:r w:rsidRPr="00A11CCD">
              <w:rPr>
                <w:rStyle w:val="Hyperlink"/>
                <w:b/>
              </w:rPr>
              <w:t>Economia Mundial e taxa de câmbio</w:t>
            </w:r>
            <w:r>
              <w:rPr>
                <w:webHidden/>
              </w:rPr>
              <w:tab/>
            </w:r>
            <w:r>
              <w:rPr>
                <w:webHidden/>
              </w:rPr>
              <w:fldChar w:fldCharType="begin"/>
            </w:r>
            <w:r>
              <w:rPr>
                <w:webHidden/>
              </w:rPr>
              <w:instrText xml:space="preserve"> PAGEREF _Toc181542565 \h </w:instrText>
            </w:r>
            <w:r>
              <w:rPr>
                <w:webHidden/>
              </w:rPr>
            </w:r>
            <w:r>
              <w:rPr>
                <w:webHidden/>
              </w:rPr>
              <w:fldChar w:fldCharType="separate"/>
            </w:r>
            <w:r>
              <w:rPr>
                <w:webHidden/>
              </w:rPr>
              <w:t>13</w:t>
            </w:r>
            <w:r>
              <w:rPr>
                <w:webHidden/>
              </w:rPr>
              <w:fldChar w:fldCharType="end"/>
            </w:r>
          </w:hyperlink>
        </w:p>
        <w:p w14:paraId="501EB083" w14:textId="635A0AFB" w:rsidR="00A75E13" w:rsidRDefault="00A75E13">
          <w:pPr>
            <w:pStyle w:val="Sumrio2"/>
            <w:rPr>
              <w:rFonts w:asciiTheme="minorHAnsi" w:hAnsiTheme="minorHAnsi" w:cstheme="minorBidi"/>
              <w:smallCaps w:val="0"/>
              <w:kern w:val="2"/>
              <w:sz w:val="22"/>
              <w:szCs w:val="22"/>
              <w14:ligatures w14:val="standardContextual"/>
            </w:rPr>
          </w:pPr>
          <w:hyperlink w:anchor="_Toc181542566" w:history="1">
            <w:r w:rsidRPr="00A11CCD">
              <w:rPr>
                <w:rStyle w:val="Hyperlink"/>
                <w:b/>
              </w:rPr>
              <w:t>Taxa de Juros, Inflação e Política Monetária</w:t>
            </w:r>
            <w:r>
              <w:rPr>
                <w:webHidden/>
              </w:rPr>
              <w:tab/>
            </w:r>
            <w:r>
              <w:rPr>
                <w:webHidden/>
              </w:rPr>
              <w:fldChar w:fldCharType="begin"/>
            </w:r>
            <w:r>
              <w:rPr>
                <w:webHidden/>
              </w:rPr>
              <w:instrText xml:space="preserve"> PAGEREF _Toc181542566 \h </w:instrText>
            </w:r>
            <w:r>
              <w:rPr>
                <w:webHidden/>
              </w:rPr>
            </w:r>
            <w:r>
              <w:rPr>
                <w:webHidden/>
              </w:rPr>
              <w:fldChar w:fldCharType="separate"/>
            </w:r>
            <w:r>
              <w:rPr>
                <w:webHidden/>
              </w:rPr>
              <w:t>16</w:t>
            </w:r>
            <w:r>
              <w:rPr>
                <w:webHidden/>
              </w:rPr>
              <w:fldChar w:fldCharType="end"/>
            </w:r>
          </w:hyperlink>
        </w:p>
        <w:p w14:paraId="44667492" w14:textId="2A8B4A62" w:rsidR="00A75E13" w:rsidRDefault="00A75E13">
          <w:pPr>
            <w:pStyle w:val="Sumrio2"/>
            <w:rPr>
              <w:rFonts w:asciiTheme="minorHAnsi" w:hAnsiTheme="minorHAnsi" w:cstheme="minorBidi"/>
              <w:smallCaps w:val="0"/>
              <w:kern w:val="2"/>
              <w:sz w:val="22"/>
              <w:szCs w:val="22"/>
              <w14:ligatures w14:val="standardContextual"/>
            </w:rPr>
          </w:pPr>
          <w:hyperlink w:anchor="_Toc181542567" w:history="1">
            <w:r w:rsidRPr="00A11CCD">
              <w:rPr>
                <w:rStyle w:val="Hyperlink"/>
                <w:b/>
              </w:rPr>
              <w:t>Atividade Econômica e Produto Interno Bruto</w:t>
            </w:r>
            <w:r>
              <w:rPr>
                <w:webHidden/>
              </w:rPr>
              <w:tab/>
            </w:r>
            <w:r>
              <w:rPr>
                <w:webHidden/>
              </w:rPr>
              <w:fldChar w:fldCharType="begin"/>
            </w:r>
            <w:r>
              <w:rPr>
                <w:webHidden/>
              </w:rPr>
              <w:instrText xml:space="preserve"> PAGEREF _Toc181542567 \h </w:instrText>
            </w:r>
            <w:r>
              <w:rPr>
                <w:webHidden/>
              </w:rPr>
            </w:r>
            <w:r>
              <w:rPr>
                <w:webHidden/>
              </w:rPr>
              <w:fldChar w:fldCharType="separate"/>
            </w:r>
            <w:r>
              <w:rPr>
                <w:webHidden/>
              </w:rPr>
              <w:t>19</w:t>
            </w:r>
            <w:r>
              <w:rPr>
                <w:webHidden/>
              </w:rPr>
              <w:fldChar w:fldCharType="end"/>
            </w:r>
          </w:hyperlink>
        </w:p>
        <w:p w14:paraId="2992DCDB" w14:textId="2CF2D356" w:rsidR="00A75E13" w:rsidRDefault="00A75E13">
          <w:pPr>
            <w:pStyle w:val="Sumrio1"/>
            <w:tabs>
              <w:tab w:val="right" w:leader="dot" w:pos="9061"/>
            </w:tabs>
            <w:rPr>
              <w:b w:val="0"/>
              <w:bCs w:val="0"/>
              <w:caps w:val="0"/>
              <w:noProof/>
              <w:kern w:val="2"/>
              <w:sz w:val="22"/>
              <w:szCs w:val="22"/>
              <w14:ligatures w14:val="standardContextual"/>
            </w:rPr>
          </w:pPr>
          <w:hyperlink w:anchor="_Toc181542568" w:history="1">
            <w:r w:rsidRPr="00E4782B">
              <w:rPr>
                <w:noProof/>
              </w:rPr>
              <w:object w:dxaOrig="2425" w:dyaOrig="2598" w14:anchorId="4D9DF2B7">
                <v:shape id="_x0000_i1037" type="#_x0000_t75" style="width:9.75pt;height:9pt" o:ole="">
                  <v:imagedata r:id="rId11" o:title=""/>
                </v:shape>
                <o:OLEObject Type="Embed" ProgID="CorelDRAW.Graphic.13" ShapeID="_x0000_i1037" DrawAspect="Content" ObjectID="_1793685910" r:id="rId25"/>
              </w:object>
            </w:r>
            <w:r w:rsidRPr="00A11CCD">
              <w:rPr>
                <w:rStyle w:val="Hyperlink"/>
                <w:noProof/>
              </w:rPr>
              <w:t>EXPECTATIVAS DO MERCADO FINANCEIRO 2025 - BRASIL</w:t>
            </w:r>
            <w:r w:rsidRPr="00ED4208">
              <w:rPr>
                <w:noProof/>
                <w:color w:val="17365D" w:themeColor="text2" w:themeShade="BF"/>
                <w:sz w:val="30"/>
                <w:szCs w:val="30"/>
              </w:rPr>
              <w:object w:dxaOrig="3163" w:dyaOrig="3187" w14:anchorId="3F754599">
                <v:shape id="_x0000_i1038" type="#_x0000_t75" style="width:21.75pt;height:24pt" o:ole="">
                  <v:imagedata r:id="rId13" o:title=""/>
                </v:shape>
                <o:OLEObject Type="Embed" ProgID="CorelDRAW.Graphic.13" ShapeID="_x0000_i1038" DrawAspect="Content" ObjectID="_1793685911" r:id="rId26"/>
              </w:object>
            </w:r>
            <w:r>
              <w:rPr>
                <w:noProof/>
                <w:webHidden/>
              </w:rPr>
              <w:tab/>
            </w:r>
            <w:r>
              <w:rPr>
                <w:noProof/>
                <w:webHidden/>
              </w:rPr>
              <w:fldChar w:fldCharType="begin"/>
            </w:r>
            <w:r>
              <w:rPr>
                <w:noProof/>
                <w:webHidden/>
              </w:rPr>
              <w:instrText xml:space="preserve"> PAGEREF _Toc181542568 \h </w:instrText>
            </w:r>
            <w:r>
              <w:rPr>
                <w:noProof/>
                <w:webHidden/>
              </w:rPr>
            </w:r>
            <w:r>
              <w:rPr>
                <w:noProof/>
                <w:webHidden/>
              </w:rPr>
              <w:fldChar w:fldCharType="separate"/>
            </w:r>
            <w:r>
              <w:rPr>
                <w:noProof/>
                <w:webHidden/>
              </w:rPr>
              <w:t>21</w:t>
            </w:r>
            <w:r>
              <w:rPr>
                <w:noProof/>
                <w:webHidden/>
              </w:rPr>
              <w:fldChar w:fldCharType="end"/>
            </w:r>
          </w:hyperlink>
        </w:p>
        <w:p w14:paraId="022F92E8" w14:textId="11F0BBF6" w:rsidR="00A75E13" w:rsidRDefault="00A75E13">
          <w:pPr>
            <w:pStyle w:val="Sumrio2"/>
            <w:rPr>
              <w:rFonts w:asciiTheme="minorHAnsi" w:hAnsiTheme="minorHAnsi" w:cstheme="minorBidi"/>
              <w:smallCaps w:val="0"/>
              <w:kern w:val="2"/>
              <w:sz w:val="22"/>
              <w:szCs w:val="22"/>
              <w14:ligatures w14:val="standardContextual"/>
            </w:rPr>
          </w:pPr>
          <w:hyperlink w:anchor="_Toc181542569" w:history="1">
            <w:r w:rsidRPr="00A11CCD">
              <w:rPr>
                <w:rStyle w:val="Hyperlink"/>
                <w:b/>
                <w:bCs/>
              </w:rPr>
              <w:t>Renda Fixa</w:t>
            </w:r>
            <w:r>
              <w:rPr>
                <w:webHidden/>
              </w:rPr>
              <w:tab/>
            </w:r>
            <w:r>
              <w:rPr>
                <w:webHidden/>
              </w:rPr>
              <w:fldChar w:fldCharType="begin"/>
            </w:r>
            <w:r>
              <w:rPr>
                <w:webHidden/>
              </w:rPr>
              <w:instrText xml:space="preserve"> PAGEREF _Toc181542569 \h </w:instrText>
            </w:r>
            <w:r>
              <w:rPr>
                <w:webHidden/>
              </w:rPr>
            </w:r>
            <w:r>
              <w:rPr>
                <w:webHidden/>
              </w:rPr>
              <w:fldChar w:fldCharType="separate"/>
            </w:r>
            <w:r>
              <w:rPr>
                <w:webHidden/>
              </w:rPr>
              <w:t>21</w:t>
            </w:r>
            <w:r>
              <w:rPr>
                <w:webHidden/>
              </w:rPr>
              <w:fldChar w:fldCharType="end"/>
            </w:r>
          </w:hyperlink>
        </w:p>
        <w:p w14:paraId="76237D7C" w14:textId="3B41C863" w:rsidR="00A75E13" w:rsidRDefault="00A75E13">
          <w:pPr>
            <w:pStyle w:val="Sumrio2"/>
            <w:rPr>
              <w:rFonts w:asciiTheme="minorHAnsi" w:hAnsiTheme="minorHAnsi" w:cstheme="minorBidi"/>
              <w:smallCaps w:val="0"/>
              <w:kern w:val="2"/>
              <w:sz w:val="22"/>
              <w:szCs w:val="22"/>
              <w14:ligatures w14:val="standardContextual"/>
            </w:rPr>
          </w:pPr>
          <w:hyperlink w:anchor="_Toc181542570" w:history="1">
            <w:r w:rsidRPr="00A11CCD">
              <w:rPr>
                <w:rStyle w:val="Hyperlink"/>
                <w:b/>
              </w:rPr>
              <w:t>Análise 2024 e Perspectivas para 2025</w:t>
            </w:r>
            <w:r>
              <w:rPr>
                <w:webHidden/>
              </w:rPr>
              <w:tab/>
            </w:r>
            <w:r>
              <w:rPr>
                <w:webHidden/>
              </w:rPr>
              <w:fldChar w:fldCharType="begin"/>
            </w:r>
            <w:r>
              <w:rPr>
                <w:webHidden/>
              </w:rPr>
              <w:instrText xml:space="preserve"> PAGEREF _Toc181542570 \h </w:instrText>
            </w:r>
            <w:r>
              <w:rPr>
                <w:webHidden/>
              </w:rPr>
            </w:r>
            <w:r>
              <w:rPr>
                <w:webHidden/>
              </w:rPr>
              <w:fldChar w:fldCharType="separate"/>
            </w:r>
            <w:r>
              <w:rPr>
                <w:webHidden/>
              </w:rPr>
              <w:t>23</w:t>
            </w:r>
            <w:r>
              <w:rPr>
                <w:webHidden/>
              </w:rPr>
              <w:fldChar w:fldCharType="end"/>
            </w:r>
          </w:hyperlink>
        </w:p>
        <w:p w14:paraId="4A91E886" w14:textId="00E62D30" w:rsidR="00A75E13" w:rsidRDefault="00A75E13">
          <w:pPr>
            <w:pStyle w:val="Sumrio2"/>
            <w:rPr>
              <w:rFonts w:asciiTheme="minorHAnsi" w:hAnsiTheme="minorHAnsi" w:cstheme="minorBidi"/>
              <w:smallCaps w:val="0"/>
              <w:kern w:val="2"/>
              <w:sz w:val="22"/>
              <w:szCs w:val="22"/>
              <w14:ligatures w14:val="standardContextual"/>
            </w:rPr>
          </w:pPr>
          <w:hyperlink w:anchor="_Toc181542571" w:history="1">
            <w:r w:rsidRPr="00A11CCD">
              <w:rPr>
                <w:rStyle w:val="Hyperlink"/>
                <w:b/>
                <w:bCs/>
              </w:rPr>
              <w:t>Renda Variável</w:t>
            </w:r>
            <w:r>
              <w:rPr>
                <w:webHidden/>
              </w:rPr>
              <w:tab/>
            </w:r>
            <w:r>
              <w:rPr>
                <w:webHidden/>
              </w:rPr>
              <w:fldChar w:fldCharType="begin"/>
            </w:r>
            <w:r>
              <w:rPr>
                <w:webHidden/>
              </w:rPr>
              <w:instrText xml:space="preserve"> PAGEREF _Toc181542571 \h </w:instrText>
            </w:r>
            <w:r>
              <w:rPr>
                <w:webHidden/>
              </w:rPr>
            </w:r>
            <w:r>
              <w:rPr>
                <w:webHidden/>
              </w:rPr>
              <w:fldChar w:fldCharType="separate"/>
            </w:r>
            <w:r>
              <w:rPr>
                <w:webHidden/>
              </w:rPr>
              <w:t>26</w:t>
            </w:r>
            <w:r>
              <w:rPr>
                <w:webHidden/>
              </w:rPr>
              <w:fldChar w:fldCharType="end"/>
            </w:r>
          </w:hyperlink>
        </w:p>
        <w:p w14:paraId="5A922B6E" w14:textId="0FC411DF" w:rsidR="00A75E13" w:rsidRDefault="00A75E13">
          <w:pPr>
            <w:pStyle w:val="Sumrio2"/>
            <w:rPr>
              <w:rFonts w:asciiTheme="minorHAnsi" w:hAnsiTheme="minorHAnsi" w:cstheme="minorBidi"/>
              <w:smallCaps w:val="0"/>
              <w:kern w:val="2"/>
              <w:sz w:val="22"/>
              <w:szCs w:val="22"/>
              <w14:ligatures w14:val="standardContextual"/>
            </w:rPr>
          </w:pPr>
          <w:hyperlink w:anchor="_Toc181542572" w:history="1">
            <w:r w:rsidRPr="00A11CCD">
              <w:rPr>
                <w:rStyle w:val="Hyperlink"/>
                <w:b/>
              </w:rPr>
              <w:t>Análise 2024 e Perspectivas para 2025</w:t>
            </w:r>
            <w:r>
              <w:rPr>
                <w:webHidden/>
              </w:rPr>
              <w:tab/>
            </w:r>
            <w:r>
              <w:rPr>
                <w:webHidden/>
              </w:rPr>
              <w:fldChar w:fldCharType="begin"/>
            </w:r>
            <w:r>
              <w:rPr>
                <w:webHidden/>
              </w:rPr>
              <w:instrText xml:space="preserve"> PAGEREF _Toc181542572 \h </w:instrText>
            </w:r>
            <w:r>
              <w:rPr>
                <w:webHidden/>
              </w:rPr>
            </w:r>
            <w:r>
              <w:rPr>
                <w:webHidden/>
              </w:rPr>
              <w:fldChar w:fldCharType="separate"/>
            </w:r>
            <w:r>
              <w:rPr>
                <w:webHidden/>
              </w:rPr>
              <w:t>27</w:t>
            </w:r>
            <w:r>
              <w:rPr>
                <w:webHidden/>
              </w:rPr>
              <w:fldChar w:fldCharType="end"/>
            </w:r>
          </w:hyperlink>
        </w:p>
        <w:p w14:paraId="3498F121" w14:textId="476F6174" w:rsidR="00A75E13" w:rsidRDefault="00A75E13">
          <w:pPr>
            <w:pStyle w:val="Sumrio1"/>
            <w:tabs>
              <w:tab w:val="right" w:leader="dot" w:pos="9061"/>
            </w:tabs>
            <w:rPr>
              <w:b w:val="0"/>
              <w:bCs w:val="0"/>
              <w:caps w:val="0"/>
              <w:noProof/>
              <w:kern w:val="2"/>
              <w:sz w:val="22"/>
              <w:szCs w:val="22"/>
              <w14:ligatures w14:val="standardContextual"/>
            </w:rPr>
          </w:pPr>
          <w:hyperlink w:anchor="_Toc181542573" w:history="1">
            <w:r w:rsidRPr="00E4782B">
              <w:rPr>
                <w:noProof/>
              </w:rPr>
              <w:object w:dxaOrig="2425" w:dyaOrig="2598" w14:anchorId="10FBE6BC">
                <v:shape id="_x0000_i1039" type="#_x0000_t75" style="width:9.75pt;height:9pt" o:ole="">
                  <v:imagedata r:id="rId11" o:title=""/>
                </v:shape>
                <o:OLEObject Type="Embed" ProgID="CorelDRAW.Graphic.13" ShapeID="_x0000_i1039" DrawAspect="Content" ObjectID="_1793685912" r:id="rId27"/>
              </w:object>
            </w:r>
            <w:r w:rsidRPr="00A11CCD">
              <w:rPr>
                <w:rStyle w:val="Hyperlink"/>
                <w:noProof/>
              </w:rPr>
              <w:t xml:space="preserve">CONSIDERAÇÕES GERAIS – CENÁRIO 2024/2025 </w:t>
            </w:r>
            <w:r w:rsidRPr="00171269">
              <w:rPr>
                <w:noProof/>
                <w:color w:val="17365D" w:themeColor="text2" w:themeShade="BF"/>
                <w:sz w:val="30"/>
                <w:szCs w:val="30"/>
              </w:rPr>
              <w:object w:dxaOrig="3163" w:dyaOrig="3187" w14:anchorId="2ACF8035">
                <v:shape id="_x0000_i1040" type="#_x0000_t75" style="width:21.75pt;height:23.25pt" o:ole="">
                  <v:imagedata r:id="rId13" o:title=""/>
                </v:shape>
                <o:OLEObject Type="Embed" ProgID="CorelDRAW.Graphic.13" ShapeID="_x0000_i1040" DrawAspect="Content" ObjectID="_1793685913" r:id="rId28"/>
              </w:object>
            </w:r>
            <w:r>
              <w:rPr>
                <w:noProof/>
                <w:webHidden/>
              </w:rPr>
              <w:tab/>
            </w:r>
            <w:r>
              <w:rPr>
                <w:noProof/>
                <w:webHidden/>
              </w:rPr>
              <w:fldChar w:fldCharType="begin"/>
            </w:r>
            <w:r>
              <w:rPr>
                <w:noProof/>
                <w:webHidden/>
              </w:rPr>
              <w:instrText xml:space="preserve"> PAGEREF _Toc181542573 \h </w:instrText>
            </w:r>
            <w:r>
              <w:rPr>
                <w:noProof/>
                <w:webHidden/>
              </w:rPr>
            </w:r>
            <w:r>
              <w:rPr>
                <w:noProof/>
                <w:webHidden/>
              </w:rPr>
              <w:fldChar w:fldCharType="separate"/>
            </w:r>
            <w:r>
              <w:rPr>
                <w:noProof/>
                <w:webHidden/>
              </w:rPr>
              <w:t>30</w:t>
            </w:r>
            <w:r>
              <w:rPr>
                <w:noProof/>
                <w:webHidden/>
              </w:rPr>
              <w:fldChar w:fldCharType="end"/>
            </w:r>
          </w:hyperlink>
        </w:p>
        <w:p w14:paraId="6A67547B" w14:textId="58363BD0" w:rsidR="00A75E13" w:rsidRDefault="00A75E13">
          <w:pPr>
            <w:pStyle w:val="Sumrio1"/>
            <w:tabs>
              <w:tab w:val="right" w:leader="dot" w:pos="9061"/>
            </w:tabs>
            <w:rPr>
              <w:b w:val="0"/>
              <w:bCs w:val="0"/>
              <w:caps w:val="0"/>
              <w:noProof/>
              <w:kern w:val="2"/>
              <w:sz w:val="22"/>
              <w:szCs w:val="22"/>
              <w14:ligatures w14:val="standardContextual"/>
            </w:rPr>
          </w:pPr>
          <w:hyperlink w:anchor="_Toc181542574" w:history="1">
            <w:r w:rsidRPr="00E4782B">
              <w:rPr>
                <w:noProof/>
              </w:rPr>
              <w:object w:dxaOrig="2425" w:dyaOrig="2598" w14:anchorId="757636C9">
                <v:shape id="_x0000_i1041" type="#_x0000_t75" style="width:9.75pt;height:9pt" o:ole="">
                  <v:imagedata r:id="rId11" o:title=""/>
                </v:shape>
                <o:OLEObject Type="Embed" ProgID="CorelDRAW.Graphic.13" ShapeID="_x0000_i1041" DrawAspect="Content" ObjectID="_1793685914" r:id="rId29"/>
              </w:object>
            </w:r>
            <w:r w:rsidRPr="00A11CCD">
              <w:rPr>
                <w:rStyle w:val="Hyperlink"/>
                <w:noProof/>
              </w:rPr>
              <w:t xml:space="preserve">CONTROLE DE RISCOS </w:t>
            </w:r>
            <w:r w:rsidRPr="00E8601E">
              <w:rPr>
                <w:noProof/>
              </w:rPr>
              <w:object w:dxaOrig="3163" w:dyaOrig="3187" w14:anchorId="5320AC70">
                <v:shape id="_x0000_i1042" type="#_x0000_t75" style="width:21.75pt;height:23.25pt" o:ole="">
                  <v:imagedata r:id="rId13" o:title=""/>
                </v:shape>
                <o:OLEObject Type="Embed" ProgID="CorelDRAW.Graphic.13" ShapeID="_x0000_i1042" DrawAspect="Content" ObjectID="_1793685915" r:id="rId30"/>
              </w:object>
            </w:r>
            <w:r>
              <w:rPr>
                <w:noProof/>
                <w:webHidden/>
              </w:rPr>
              <w:tab/>
            </w:r>
            <w:r>
              <w:rPr>
                <w:noProof/>
                <w:webHidden/>
              </w:rPr>
              <w:fldChar w:fldCharType="begin"/>
            </w:r>
            <w:r>
              <w:rPr>
                <w:noProof/>
                <w:webHidden/>
              </w:rPr>
              <w:instrText xml:space="preserve"> PAGEREF _Toc181542574 \h </w:instrText>
            </w:r>
            <w:r>
              <w:rPr>
                <w:noProof/>
                <w:webHidden/>
              </w:rPr>
            </w:r>
            <w:r>
              <w:rPr>
                <w:noProof/>
                <w:webHidden/>
              </w:rPr>
              <w:fldChar w:fldCharType="separate"/>
            </w:r>
            <w:r>
              <w:rPr>
                <w:noProof/>
                <w:webHidden/>
              </w:rPr>
              <w:t>31</w:t>
            </w:r>
            <w:r>
              <w:rPr>
                <w:noProof/>
                <w:webHidden/>
              </w:rPr>
              <w:fldChar w:fldCharType="end"/>
            </w:r>
          </w:hyperlink>
        </w:p>
        <w:p w14:paraId="1920D631" w14:textId="07980602" w:rsidR="00A75E13" w:rsidRDefault="00A75E13">
          <w:pPr>
            <w:pStyle w:val="Sumrio2"/>
            <w:rPr>
              <w:rFonts w:asciiTheme="minorHAnsi" w:hAnsiTheme="minorHAnsi" w:cstheme="minorBidi"/>
              <w:smallCaps w:val="0"/>
              <w:kern w:val="2"/>
              <w:sz w:val="22"/>
              <w:szCs w:val="22"/>
              <w14:ligatures w14:val="standardContextual"/>
            </w:rPr>
          </w:pPr>
          <w:hyperlink w:anchor="_Toc181542575" w:history="1">
            <w:r w:rsidRPr="00A11CCD">
              <w:rPr>
                <w:rStyle w:val="Hyperlink"/>
                <w:b/>
              </w:rPr>
              <w:t>Perfil de Investidor do RPPS</w:t>
            </w:r>
            <w:r>
              <w:rPr>
                <w:webHidden/>
              </w:rPr>
              <w:tab/>
            </w:r>
            <w:r>
              <w:rPr>
                <w:webHidden/>
              </w:rPr>
              <w:fldChar w:fldCharType="begin"/>
            </w:r>
            <w:r>
              <w:rPr>
                <w:webHidden/>
              </w:rPr>
              <w:instrText xml:space="preserve"> PAGEREF _Toc181542575 \h </w:instrText>
            </w:r>
            <w:r>
              <w:rPr>
                <w:webHidden/>
              </w:rPr>
            </w:r>
            <w:r>
              <w:rPr>
                <w:webHidden/>
              </w:rPr>
              <w:fldChar w:fldCharType="separate"/>
            </w:r>
            <w:r>
              <w:rPr>
                <w:webHidden/>
              </w:rPr>
              <w:t>31</w:t>
            </w:r>
            <w:r>
              <w:rPr>
                <w:webHidden/>
              </w:rPr>
              <w:fldChar w:fldCharType="end"/>
            </w:r>
          </w:hyperlink>
        </w:p>
        <w:p w14:paraId="1BC5D1AC" w14:textId="427671A3" w:rsidR="00A75E13" w:rsidRDefault="00A75E13">
          <w:pPr>
            <w:pStyle w:val="Sumrio2"/>
            <w:rPr>
              <w:rFonts w:asciiTheme="minorHAnsi" w:hAnsiTheme="minorHAnsi" w:cstheme="minorBidi"/>
              <w:smallCaps w:val="0"/>
              <w:kern w:val="2"/>
              <w:sz w:val="22"/>
              <w:szCs w:val="22"/>
              <w14:ligatures w14:val="standardContextual"/>
            </w:rPr>
          </w:pPr>
          <w:hyperlink w:anchor="_Toc181542576" w:history="1">
            <w:r w:rsidRPr="00A11CCD">
              <w:rPr>
                <w:rStyle w:val="Hyperlink"/>
                <w:b/>
              </w:rPr>
              <w:t>Plano de Conti</w:t>
            </w:r>
            <w:r w:rsidR="009557BB">
              <w:rPr>
                <w:rStyle w:val="Hyperlink"/>
                <w:b/>
              </w:rPr>
              <w:t>n</w:t>
            </w:r>
            <w:r w:rsidRPr="00A11CCD">
              <w:rPr>
                <w:rStyle w:val="Hyperlink"/>
                <w:b/>
              </w:rPr>
              <w:t>gência para situações de crise no mercado financeiro</w:t>
            </w:r>
            <w:r>
              <w:rPr>
                <w:webHidden/>
              </w:rPr>
              <w:tab/>
            </w:r>
            <w:r>
              <w:rPr>
                <w:webHidden/>
              </w:rPr>
              <w:fldChar w:fldCharType="begin"/>
            </w:r>
            <w:r>
              <w:rPr>
                <w:webHidden/>
              </w:rPr>
              <w:instrText xml:space="preserve"> PAGEREF _Toc181542576 \h </w:instrText>
            </w:r>
            <w:r>
              <w:rPr>
                <w:webHidden/>
              </w:rPr>
            </w:r>
            <w:r>
              <w:rPr>
                <w:webHidden/>
              </w:rPr>
              <w:fldChar w:fldCharType="separate"/>
            </w:r>
            <w:r>
              <w:rPr>
                <w:webHidden/>
              </w:rPr>
              <w:t>32</w:t>
            </w:r>
            <w:r>
              <w:rPr>
                <w:webHidden/>
              </w:rPr>
              <w:fldChar w:fldCharType="end"/>
            </w:r>
          </w:hyperlink>
        </w:p>
        <w:p w14:paraId="0F096BFC" w14:textId="6061E76D" w:rsidR="00A75E13" w:rsidRDefault="00A75E13">
          <w:pPr>
            <w:pStyle w:val="Sumrio1"/>
            <w:tabs>
              <w:tab w:val="right" w:leader="dot" w:pos="9061"/>
            </w:tabs>
            <w:rPr>
              <w:b w:val="0"/>
              <w:bCs w:val="0"/>
              <w:caps w:val="0"/>
              <w:noProof/>
              <w:kern w:val="2"/>
              <w:sz w:val="22"/>
              <w:szCs w:val="22"/>
              <w14:ligatures w14:val="standardContextual"/>
            </w:rPr>
          </w:pPr>
          <w:hyperlink w:anchor="_Toc181542577" w:history="1">
            <w:r w:rsidRPr="00E4782B">
              <w:rPr>
                <w:noProof/>
              </w:rPr>
              <w:object w:dxaOrig="2425" w:dyaOrig="2598" w14:anchorId="2784226D">
                <v:shape id="_x0000_i1043" type="#_x0000_t75" style="width:9.75pt;height:9pt" o:ole="">
                  <v:imagedata r:id="rId11" o:title=""/>
                </v:shape>
                <o:OLEObject Type="Embed" ProgID="CorelDRAW.Graphic.13" ShapeID="_x0000_i1043" DrawAspect="Content" ObjectID="_1793685916" r:id="rId31"/>
              </w:object>
            </w:r>
            <w:r w:rsidRPr="00A11CCD">
              <w:rPr>
                <w:rStyle w:val="Hyperlink"/>
                <w:rFonts w:ascii="Tahoma" w:hAnsi="Tahoma" w:cs="Tahoma"/>
                <w:noProof/>
              </w:rPr>
              <w:t xml:space="preserve">DIRETRIZES PARA ALOCAÇÃO DOS RECURSOS </w:t>
            </w:r>
            <w:r w:rsidRPr="00E8601E">
              <w:rPr>
                <w:noProof/>
              </w:rPr>
              <w:object w:dxaOrig="3163" w:dyaOrig="3187" w14:anchorId="13296BFE">
                <v:shape id="_x0000_i1044" type="#_x0000_t75" style="width:21.75pt;height:23.25pt" o:ole="">
                  <v:imagedata r:id="rId13" o:title=""/>
                </v:shape>
                <o:OLEObject Type="Embed" ProgID="CorelDRAW.Graphic.13" ShapeID="_x0000_i1044" DrawAspect="Content" ObjectID="_1793685917" r:id="rId32"/>
              </w:object>
            </w:r>
            <w:r>
              <w:rPr>
                <w:noProof/>
                <w:webHidden/>
              </w:rPr>
              <w:tab/>
            </w:r>
            <w:r>
              <w:rPr>
                <w:noProof/>
                <w:webHidden/>
              </w:rPr>
              <w:fldChar w:fldCharType="begin"/>
            </w:r>
            <w:r>
              <w:rPr>
                <w:noProof/>
                <w:webHidden/>
              </w:rPr>
              <w:instrText xml:space="preserve"> PAGEREF _Toc181542577 \h </w:instrText>
            </w:r>
            <w:r>
              <w:rPr>
                <w:noProof/>
                <w:webHidden/>
              </w:rPr>
            </w:r>
            <w:r>
              <w:rPr>
                <w:noProof/>
                <w:webHidden/>
              </w:rPr>
              <w:fldChar w:fldCharType="separate"/>
            </w:r>
            <w:r>
              <w:rPr>
                <w:noProof/>
                <w:webHidden/>
              </w:rPr>
              <w:t>34</w:t>
            </w:r>
            <w:r>
              <w:rPr>
                <w:noProof/>
                <w:webHidden/>
              </w:rPr>
              <w:fldChar w:fldCharType="end"/>
            </w:r>
          </w:hyperlink>
        </w:p>
        <w:p w14:paraId="7780545F" w14:textId="4632FD96" w:rsidR="00A75E13" w:rsidRDefault="00A75E13">
          <w:pPr>
            <w:pStyle w:val="Sumrio2"/>
            <w:rPr>
              <w:rFonts w:asciiTheme="minorHAnsi" w:hAnsiTheme="minorHAnsi" w:cstheme="minorBidi"/>
              <w:smallCaps w:val="0"/>
              <w:kern w:val="2"/>
              <w:sz w:val="22"/>
              <w:szCs w:val="22"/>
              <w14:ligatures w14:val="standardContextual"/>
            </w:rPr>
          </w:pPr>
          <w:hyperlink w:anchor="_Toc181542578" w:history="1">
            <w:r w:rsidRPr="00A11CCD">
              <w:rPr>
                <w:rStyle w:val="Hyperlink"/>
                <w:b/>
              </w:rPr>
              <w:t>Das Diretrizes</w:t>
            </w:r>
            <w:r>
              <w:rPr>
                <w:webHidden/>
              </w:rPr>
              <w:tab/>
            </w:r>
            <w:r>
              <w:rPr>
                <w:webHidden/>
              </w:rPr>
              <w:fldChar w:fldCharType="begin"/>
            </w:r>
            <w:r>
              <w:rPr>
                <w:webHidden/>
              </w:rPr>
              <w:instrText xml:space="preserve"> PAGEREF _Toc181542578 \h </w:instrText>
            </w:r>
            <w:r>
              <w:rPr>
                <w:webHidden/>
              </w:rPr>
            </w:r>
            <w:r>
              <w:rPr>
                <w:webHidden/>
              </w:rPr>
              <w:fldChar w:fldCharType="separate"/>
            </w:r>
            <w:r>
              <w:rPr>
                <w:webHidden/>
              </w:rPr>
              <w:t>34</w:t>
            </w:r>
            <w:r>
              <w:rPr>
                <w:webHidden/>
              </w:rPr>
              <w:fldChar w:fldCharType="end"/>
            </w:r>
          </w:hyperlink>
        </w:p>
        <w:p w14:paraId="1131B8B3" w14:textId="780DC265" w:rsidR="00A75E13" w:rsidRDefault="00A75E13">
          <w:pPr>
            <w:pStyle w:val="Sumrio2"/>
            <w:rPr>
              <w:rFonts w:asciiTheme="minorHAnsi" w:hAnsiTheme="minorHAnsi" w:cstheme="minorBidi"/>
              <w:smallCaps w:val="0"/>
              <w:kern w:val="2"/>
              <w:sz w:val="22"/>
              <w:szCs w:val="22"/>
              <w14:ligatures w14:val="standardContextual"/>
            </w:rPr>
          </w:pPr>
          <w:hyperlink w:anchor="_Toc181542579" w:history="1">
            <w:r w:rsidRPr="00A11CCD">
              <w:rPr>
                <w:rStyle w:val="Hyperlink"/>
                <w:b/>
              </w:rPr>
              <w:t>Competência dos Órgãos envolvidos na Gestão dos recursos do RPPS</w:t>
            </w:r>
            <w:r>
              <w:rPr>
                <w:webHidden/>
              </w:rPr>
              <w:tab/>
            </w:r>
            <w:r>
              <w:rPr>
                <w:webHidden/>
              </w:rPr>
              <w:fldChar w:fldCharType="begin"/>
            </w:r>
            <w:r>
              <w:rPr>
                <w:webHidden/>
              </w:rPr>
              <w:instrText xml:space="preserve"> PAGEREF _Toc181542579 \h </w:instrText>
            </w:r>
            <w:r>
              <w:rPr>
                <w:webHidden/>
              </w:rPr>
            </w:r>
            <w:r>
              <w:rPr>
                <w:webHidden/>
              </w:rPr>
              <w:fldChar w:fldCharType="separate"/>
            </w:r>
            <w:r>
              <w:rPr>
                <w:webHidden/>
              </w:rPr>
              <w:t>34</w:t>
            </w:r>
            <w:r>
              <w:rPr>
                <w:webHidden/>
              </w:rPr>
              <w:fldChar w:fldCharType="end"/>
            </w:r>
          </w:hyperlink>
        </w:p>
        <w:p w14:paraId="3B876BFE" w14:textId="39B32843" w:rsidR="00A75E13" w:rsidRDefault="00A75E13">
          <w:pPr>
            <w:pStyle w:val="Sumrio2"/>
            <w:rPr>
              <w:rFonts w:asciiTheme="minorHAnsi" w:hAnsiTheme="minorHAnsi" w:cstheme="minorBidi"/>
              <w:smallCaps w:val="0"/>
              <w:kern w:val="2"/>
              <w:sz w:val="22"/>
              <w:szCs w:val="22"/>
              <w14:ligatures w14:val="standardContextual"/>
            </w:rPr>
          </w:pPr>
          <w:hyperlink w:anchor="_Toc181542580" w:history="1">
            <w:r w:rsidRPr="00A11CCD">
              <w:rPr>
                <w:rStyle w:val="Hyperlink"/>
                <w:b/>
              </w:rPr>
              <w:t>Objetivo de Alocação</w:t>
            </w:r>
            <w:r>
              <w:rPr>
                <w:webHidden/>
              </w:rPr>
              <w:tab/>
            </w:r>
            <w:r>
              <w:rPr>
                <w:webHidden/>
              </w:rPr>
              <w:fldChar w:fldCharType="begin"/>
            </w:r>
            <w:r>
              <w:rPr>
                <w:webHidden/>
              </w:rPr>
              <w:instrText xml:space="preserve"> PAGEREF _Toc181542580 \h </w:instrText>
            </w:r>
            <w:r>
              <w:rPr>
                <w:webHidden/>
              </w:rPr>
            </w:r>
            <w:r>
              <w:rPr>
                <w:webHidden/>
              </w:rPr>
              <w:fldChar w:fldCharType="separate"/>
            </w:r>
            <w:r>
              <w:rPr>
                <w:webHidden/>
              </w:rPr>
              <w:t>35</w:t>
            </w:r>
            <w:r>
              <w:rPr>
                <w:webHidden/>
              </w:rPr>
              <w:fldChar w:fldCharType="end"/>
            </w:r>
          </w:hyperlink>
        </w:p>
        <w:p w14:paraId="5546B541" w14:textId="6C49FC46" w:rsidR="00A75E13" w:rsidRDefault="00A75E13">
          <w:pPr>
            <w:pStyle w:val="Sumrio2"/>
            <w:rPr>
              <w:rFonts w:asciiTheme="minorHAnsi" w:hAnsiTheme="minorHAnsi" w:cstheme="minorBidi"/>
              <w:smallCaps w:val="0"/>
              <w:kern w:val="2"/>
              <w:sz w:val="22"/>
              <w:szCs w:val="22"/>
              <w14:ligatures w14:val="standardContextual"/>
            </w:rPr>
          </w:pPr>
          <w:hyperlink w:anchor="_Toc181542581" w:history="1">
            <w:r w:rsidRPr="00A11CCD">
              <w:rPr>
                <w:rStyle w:val="Hyperlink"/>
              </w:rPr>
              <w:t>Das Alocações dos Recursos</w:t>
            </w:r>
            <w:r>
              <w:rPr>
                <w:webHidden/>
              </w:rPr>
              <w:tab/>
            </w:r>
            <w:r>
              <w:rPr>
                <w:webHidden/>
              </w:rPr>
              <w:fldChar w:fldCharType="begin"/>
            </w:r>
            <w:r>
              <w:rPr>
                <w:webHidden/>
              </w:rPr>
              <w:instrText xml:space="preserve"> PAGEREF _Toc181542581 \h </w:instrText>
            </w:r>
            <w:r>
              <w:rPr>
                <w:webHidden/>
              </w:rPr>
            </w:r>
            <w:r>
              <w:rPr>
                <w:webHidden/>
              </w:rPr>
              <w:fldChar w:fldCharType="separate"/>
            </w:r>
            <w:r>
              <w:rPr>
                <w:webHidden/>
              </w:rPr>
              <w:t>36</w:t>
            </w:r>
            <w:r>
              <w:rPr>
                <w:webHidden/>
              </w:rPr>
              <w:fldChar w:fldCharType="end"/>
            </w:r>
          </w:hyperlink>
        </w:p>
        <w:p w14:paraId="14A4717B" w14:textId="388D403D" w:rsidR="00A75E13" w:rsidRDefault="00A75E13">
          <w:pPr>
            <w:pStyle w:val="Sumrio3"/>
            <w:rPr>
              <w:rFonts w:asciiTheme="minorHAnsi" w:hAnsiTheme="minorHAnsi" w:cstheme="minorBidi"/>
              <w:iCs w:val="0"/>
              <w:kern w:val="2"/>
              <w:sz w:val="22"/>
              <w:szCs w:val="22"/>
              <w14:ligatures w14:val="standardContextual"/>
            </w:rPr>
          </w:pPr>
          <w:hyperlink w:anchor="_Toc181542582" w:history="1">
            <w:r w:rsidRPr="00A11CCD">
              <w:rPr>
                <w:rStyle w:val="Hyperlink"/>
              </w:rPr>
              <w:t>Dos Segmentos</w:t>
            </w:r>
            <w:r>
              <w:rPr>
                <w:webHidden/>
              </w:rPr>
              <w:tab/>
            </w:r>
            <w:r>
              <w:rPr>
                <w:webHidden/>
              </w:rPr>
              <w:fldChar w:fldCharType="begin"/>
            </w:r>
            <w:r>
              <w:rPr>
                <w:webHidden/>
              </w:rPr>
              <w:instrText xml:space="preserve"> PAGEREF _Toc181542582 \h </w:instrText>
            </w:r>
            <w:r>
              <w:rPr>
                <w:webHidden/>
              </w:rPr>
            </w:r>
            <w:r>
              <w:rPr>
                <w:webHidden/>
              </w:rPr>
              <w:fldChar w:fldCharType="separate"/>
            </w:r>
            <w:r>
              <w:rPr>
                <w:webHidden/>
              </w:rPr>
              <w:t>36</w:t>
            </w:r>
            <w:r>
              <w:rPr>
                <w:webHidden/>
              </w:rPr>
              <w:fldChar w:fldCharType="end"/>
            </w:r>
          </w:hyperlink>
        </w:p>
        <w:p w14:paraId="03A2409F" w14:textId="564D947B" w:rsidR="00A75E13" w:rsidRDefault="00A75E13">
          <w:pPr>
            <w:pStyle w:val="Sumrio3"/>
            <w:rPr>
              <w:rFonts w:asciiTheme="minorHAnsi" w:hAnsiTheme="minorHAnsi" w:cstheme="minorBidi"/>
              <w:iCs w:val="0"/>
              <w:kern w:val="2"/>
              <w:sz w:val="22"/>
              <w:szCs w:val="22"/>
              <w14:ligatures w14:val="standardContextual"/>
            </w:rPr>
          </w:pPr>
          <w:hyperlink w:anchor="_Toc181542583" w:history="1">
            <w:r w:rsidRPr="00A11CCD">
              <w:rPr>
                <w:rStyle w:val="Hyperlink"/>
              </w:rPr>
              <w:t>Dos Limites Gerais</w:t>
            </w:r>
            <w:r>
              <w:rPr>
                <w:webHidden/>
              </w:rPr>
              <w:tab/>
            </w:r>
            <w:r>
              <w:rPr>
                <w:webHidden/>
              </w:rPr>
              <w:fldChar w:fldCharType="begin"/>
            </w:r>
            <w:r>
              <w:rPr>
                <w:webHidden/>
              </w:rPr>
              <w:instrText xml:space="preserve"> PAGEREF _Toc181542583 \h </w:instrText>
            </w:r>
            <w:r>
              <w:rPr>
                <w:webHidden/>
              </w:rPr>
            </w:r>
            <w:r>
              <w:rPr>
                <w:webHidden/>
              </w:rPr>
              <w:fldChar w:fldCharType="separate"/>
            </w:r>
            <w:r>
              <w:rPr>
                <w:webHidden/>
              </w:rPr>
              <w:t>36</w:t>
            </w:r>
            <w:r>
              <w:rPr>
                <w:webHidden/>
              </w:rPr>
              <w:fldChar w:fldCharType="end"/>
            </w:r>
          </w:hyperlink>
        </w:p>
        <w:p w14:paraId="0295CB70" w14:textId="6FDCBB3D" w:rsidR="00A75E13" w:rsidRDefault="00A75E13">
          <w:pPr>
            <w:pStyle w:val="Sumrio3"/>
            <w:rPr>
              <w:rFonts w:asciiTheme="minorHAnsi" w:hAnsiTheme="minorHAnsi" w:cstheme="minorBidi"/>
              <w:iCs w:val="0"/>
              <w:kern w:val="2"/>
              <w:sz w:val="22"/>
              <w:szCs w:val="22"/>
              <w14:ligatures w14:val="standardContextual"/>
            </w:rPr>
          </w:pPr>
          <w:hyperlink w:anchor="_Toc181542584" w:history="1">
            <w:r w:rsidRPr="00A11CCD">
              <w:rPr>
                <w:rStyle w:val="Hyperlink"/>
              </w:rPr>
              <w:t>Da Avaliação de Desempenho das Aplicações</w:t>
            </w:r>
            <w:r>
              <w:rPr>
                <w:webHidden/>
              </w:rPr>
              <w:tab/>
            </w:r>
            <w:r>
              <w:rPr>
                <w:webHidden/>
              </w:rPr>
              <w:fldChar w:fldCharType="begin"/>
            </w:r>
            <w:r>
              <w:rPr>
                <w:webHidden/>
              </w:rPr>
              <w:instrText xml:space="preserve"> PAGEREF _Toc181542584 \h </w:instrText>
            </w:r>
            <w:r>
              <w:rPr>
                <w:webHidden/>
              </w:rPr>
            </w:r>
            <w:r>
              <w:rPr>
                <w:webHidden/>
              </w:rPr>
              <w:fldChar w:fldCharType="separate"/>
            </w:r>
            <w:r>
              <w:rPr>
                <w:webHidden/>
              </w:rPr>
              <w:t>37</w:t>
            </w:r>
            <w:r>
              <w:rPr>
                <w:webHidden/>
              </w:rPr>
              <w:fldChar w:fldCharType="end"/>
            </w:r>
          </w:hyperlink>
        </w:p>
        <w:p w14:paraId="47AA3997" w14:textId="70CC833E" w:rsidR="00A75E13" w:rsidRDefault="00A75E13">
          <w:pPr>
            <w:pStyle w:val="Sumrio3"/>
            <w:rPr>
              <w:rFonts w:asciiTheme="minorHAnsi" w:hAnsiTheme="minorHAnsi" w:cstheme="minorBidi"/>
              <w:iCs w:val="0"/>
              <w:kern w:val="2"/>
              <w:sz w:val="22"/>
              <w:szCs w:val="22"/>
              <w14:ligatures w14:val="standardContextual"/>
            </w:rPr>
          </w:pPr>
          <w:hyperlink w:anchor="_Toc181542585" w:history="1">
            <w:r w:rsidRPr="00A11CCD">
              <w:rPr>
                <w:rStyle w:val="Hyperlink"/>
              </w:rPr>
              <w:t>Dos Riscos de Mercado e Crédito</w:t>
            </w:r>
            <w:r>
              <w:rPr>
                <w:webHidden/>
              </w:rPr>
              <w:tab/>
            </w:r>
            <w:r>
              <w:rPr>
                <w:webHidden/>
              </w:rPr>
              <w:fldChar w:fldCharType="begin"/>
            </w:r>
            <w:r>
              <w:rPr>
                <w:webHidden/>
              </w:rPr>
              <w:instrText xml:space="preserve"> PAGEREF _Toc181542585 \h </w:instrText>
            </w:r>
            <w:r>
              <w:rPr>
                <w:webHidden/>
              </w:rPr>
            </w:r>
            <w:r>
              <w:rPr>
                <w:webHidden/>
              </w:rPr>
              <w:fldChar w:fldCharType="separate"/>
            </w:r>
            <w:r>
              <w:rPr>
                <w:webHidden/>
              </w:rPr>
              <w:t>37</w:t>
            </w:r>
            <w:r>
              <w:rPr>
                <w:webHidden/>
              </w:rPr>
              <w:fldChar w:fldCharType="end"/>
            </w:r>
          </w:hyperlink>
        </w:p>
        <w:p w14:paraId="68702EA5" w14:textId="5C0417FD" w:rsidR="00A75E13" w:rsidRDefault="00A75E13">
          <w:pPr>
            <w:pStyle w:val="Sumrio3"/>
            <w:rPr>
              <w:rFonts w:asciiTheme="minorHAnsi" w:hAnsiTheme="minorHAnsi" w:cstheme="minorBidi"/>
              <w:iCs w:val="0"/>
              <w:kern w:val="2"/>
              <w:sz w:val="22"/>
              <w:szCs w:val="22"/>
              <w14:ligatures w14:val="standardContextual"/>
            </w:rPr>
          </w:pPr>
          <w:hyperlink w:anchor="_Toc181542586" w:history="1">
            <w:r w:rsidRPr="00A11CCD">
              <w:rPr>
                <w:rStyle w:val="Hyperlink"/>
              </w:rPr>
              <w:t>Do Credenciamento</w:t>
            </w:r>
            <w:r>
              <w:rPr>
                <w:webHidden/>
              </w:rPr>
              <w:tab/>
            </w:r>
            <w:r>
              <w:rPr>
                <w:webHidden/>
              </w:rPr>
              <w:fldChar w:fldCharType="begin"/>
            </w:r>
            <w:r>
              <w:rPr>
                <w:webHidden/>
              </w:rPr>
              <w:instrText xml:space="preserve"> PAGEREF _Toc181542586 \h </w:instrText>
            </w:r>
            <w:r>
              <w:rPr>
                <w:webHidden/>
              </w:rPr>
            </w:r>
            <w:r>
              <w:rPr>
                <w:webHidden/>
              </w:rPr>
              <w:fldChar w:fldCharType="separate"/>
            </w:r>
            <w:r>
              <w:rPr>
                <w:webHidden/>
              </w:rPr>
              <w:t>37</w:t>
            </w:r>
            <w:r>
              <w:rPr>
                <w:webHidden/>
              </w:rPr>
              <w:fldChar w:fldCharType="end"/>
            </w:r>
          </w:hyperlink>
        </w:p>
        <w:p w14:paraId="32BA6A27" w14:textId="0D974686" w:rsidR="00A75E13" w:rsidRDefault="00A75E13">
          <w:pPr>
            <w:pStyle w:val="Sumrio3"/>
            <w:rPr>
              <w:rFonts w:asciiTheme="minorHAnsi" w:hAnsiTheme="minorHAnsi" w:cstheme="minorBidi"/>
              <w:iCs w:val="0"/>
              <w:kern w:val="2"/>
              <w:sz w:val="22"/>
              <w:szCs w:val="22"/>
              <w14:ligatures w14:val="standardContextual"/>
            </w:rPr>
          </w:pPr>
          <w:hyperlink w:anchor="_Toc181542587" w:history="1">
            <w:r w:rsidRPr="00A11CCD">
              <w:rPr>
                <w:rStyle w:val="Hyperlink"/>
              </w:rPr>
              <w:t>Da Seleção e Precificação de ativos</w:t>
            </w:r>
            <w:r>
              <w:rPr>
                <w:webHidden/>
              </w:rPr>
              <w:tab/>
            </w:r>
            <w:r>
              <w:rPr>
                <w:webHidden/>
              </w:rPr>
              <w:fldChar w:fldCharType="begin"/>
            </w:r>
            <w:r>
              <w:rPr>
                <w:webHidden/>
              </w:rPr>
              <w:instrText xml:space="preserve"> PAGEREF _Toc181542587 \h </w:instrText>
            </w:r>
            <w:r>
              <w:rPr>
                <w:webHidden/>
              </w:rPr>
            </w:r>
            <w:r>
              <w:rPr>
                <w:webHidden/>
              </w:rPr>
              <w:fldChar w:fldCharType="separate"/>
            </w:r>
            <w:r>
              <w:rPr>
                <w:webHidden/>
              </w:rPr>
              <w:t>38</w:t>
            </w:r>
            <w:r>
              <w:rPr>
                <w:webHidden/>
              </w:rPr>
              <w:fldChar w:fldCharType="end"/>
            </w:r>
          </w:hyperlink>
        </w:p>
        <w:p w14:paraId="34871776" w14:textId="5357B1A1" w:rsidR="00A75E13" w:rsidRPr="00EC5FD6" w:rsidRDefault="00A75E13" w:rsidP="00EC5FD6">
          <w:pPr>
            <w:pStyle w:val="Sumrio3"/>
            <w:rPr>
              <w:rStyle w:val="Hyperlink"/>
            </w:rPr>
          </w:pPr>
          <w:hyperlink w:anchor="_Toc181542588" w:history="1">
            <w:r w:rsidRPr="00A11CCD">
              <w:rPr>
                <w:rStyle w:val="Hyperlink"/>
              </w:rPr>
              <w:t>Deliberações sobre novos Investimenntos</w:t>
            </w:r>
            <w:r w:rsidRPr="00EC5FD6">
              <w:rPr>
                <w:rStyle w:val="Hyperlink"/>
                <w:webHidden/>
              </w:rPr>
              <w:tab/>
            </w:r>
            <w:r w:rsidRPr="00EC5FD6">
              <w:rPr>
                <w:rStyle w:val="Hyperlink"/>
                <w:webHidden/>
              </w:rPr>
              <w:fldChar w:fldCharType="begin"/>
            </w:r>
            <w:r w:rsidRPr="00EC5FD6">
              <w:rPr>
                <w:rStyle w:val="Hyperlink"/>
                <w:webHidden/>
              </w:rPr>
              <w:instrText xml:space="preserve"> PAGEREF _Toc181542588 \h </w:instrText>
            </w:r>
            <w:r w:rsidRPr="00EC5FD6">
              <w:rPr>
                <w:rStyle w:val="Hyperlink"/>
                <w:webHidden/>
              </w:rPr>
            </w:r>
            <w:r w:rsidRPr="00EC5FD6">
              <w:rPr>
                <w:rStyle w:val="Hyperlink"/>
                <w:webHidden/>
              </w:rPr>
              <w:fldChar w:fldCharType="separate"/>
            </w:r>
            <w:r w:rsidRPr="00EC5FD6">
              <w:rPr>
                <w:rStyle w:val="Hyperlink"/>
                <w:webHidden/>
              </w:rPr>
              <w:t>39</w:t>
            </w:r>
            <w:r w:rsidRPr="00EC5FD6">
              <w:rPr>
                <w:rStyle w:val="Hyperlink"/>
                <w:webHidden/>
              </w:rPr>
              <w:fldChar w:fldCharType="end"/>
            </w:r>
          </w:hyperlink>
        </w:p>
        <w:p w14:paraId="3D9BD3AC" w14:textId="283DEA44" w:rsidR="00A75E13" w:rsidRDefault="00A75E13">
          <w:pPr>
            <w:pStyle w:val="Sumrio1"/>
            <w:tabs>
              <w:tab w:val="right" w:leader="dot" w:pos="9061"/>
            </w:tabs>
            <w:rPr>
              <w:b w:val="0"/>
              <w:bCs w:val="0"/>
              <w:caps w:val="0"/>
              <w:noProof/>
              <w:kern w:val="2"/>
              <w:sz w:val="22"/>
              <w:szCs w:val="22"/>
              <w14:ligatures w14:val="standardContextual"/>
            </w:rPr>
          </w:pPr>
          <w:hyperlink w:anchor="_Toc181542589" w:history="1">
            <w:r w:rsidRPr="00E4782B">
              <w:rPr>
                <w:noProof/>
              </w:rPr>
              <w:object w:dxaOrig="2425" w:dyaOrig="2598" w14:anchorId="3720B22F">
                <v:shape id="_x0000_i1045" type="#_x0000_t75" style="width:9.75pt;height:9pt" o:ole="">
                  <v:imagedata r:id="rId11" o:title=""/>
                </v:shape>
                <o:OLEObject Type="Embed" ProgID="CorelDRAW.Graphic.13" ShapeID="_x0000_i1045" DrawAspect="Content" ObjectID="_1793685918" r:id="rId33"/>
              </w:object>
            </w:r>
            <w:r w:rsidRPr="00A11CCD">
              <w:rPr>
                <w:rStyle w:val="Hyperlink"/>
                <w:rFonts w:ascii="Tahoma" w:hAnsi="Tahoma" w:cs="Tahoma"/>
                <w:noProof/>
              </w:rPr>
              <w:t xml:space="preserve">ESTRATÉGIA PARA ALOCAÇÃO DE RECURSOS </w:t>
            </w:r>
            <w:r w:rsidRPr="00E8601E">
              <w:rPr>
                <w:noProof/>
              </w:rPr>
              <w:object w:dxaOrig="3163" w:dyaOrig="3187" w14:anchorId="7C6096C7">
                <v:shape id="_x0000_i1046" type="#_x0000_t75" style="width:21.75pt;height:23.25pt" o:ole="">
                  <v:imagedata r:id="rId13" o:title=""/>
                </v:shape>
                <o:OLEObject Type="Embed" ProgID="CorelDRAW.Graphic.13" ShapeID="_x0000_i1046" DrawAspect="Content" ObjectID="_1793685919" r:id="rId34"/>
              </w:object>
            </w:r>
            <w:r>
              <w:rPr>
                <w:noProof/>
                <w:webHidden/>
              </w:rPr>
              <w:tab/>
            </w:r>
            <w:r>
              <w:rPr>
                <w:noProof/>
                <w:webHidden/>
              </w:rPr>
              <w:fldChar w:fldCharType="begin"/>
            </w:r>
            <w:r>
              <w:rPr>
                <w:noProof/>
                <w:webHidden/>
              </w:rPr>
              <w:instrText xml:space="preserve"> PAGEREF _Toc181542589 \h </w:instrText>
            </w:r>
            <w:r>
              <w:rPr>
                <w:noProof/>
                <w:webHidden/>
              </w:rPr>
            </w:r>
            <w:r>
              <w:rPr>
                <w:noProof/>
                <w:webHidden/>
              </w:rPr>
              <w:fldChar w:fldCharType="separate"/>
            </w:r>
            <w:r>
              <w:rPr>
                <w:noProof/>
                <w:webHidden/>
              </w:rPr>
              <w:t>40</w:t>
            </w:r>
            <w:r>
              <w:rPr>
                <w:noProof/>
                <w:webHidden/>
              </w:rPr>
              <w:fldChar w:fldCharType="end"/>
            </w:r>
          </w:hyperlink>
        </w:p>
        <w:p w14:paraId="1E14441B" w14:textId="564CA225" w:rsidR="00A75E13" w:rsidRDefault="00A75E13">
          <w:pPr>
            <w:pStyle w:val="Sumrio1"/>
            <w:tabs>
              <w:tab w:val="right" w:leader="dot" w:pos="9061"/>
            </w:tabs>
            <w:rPr>
              <w:b w:val="0"/>
              <w:bCs w:val="0"/>
              <w:caps w:val="0"/>
              <w:noProof/>
              <w:kern w:val="2"/>
              <w:sz w:val="22"/>
              <w:szCs w:val="22"/>
              <w14:ligatures w14:val="standardContextual"/>
            </w:rPr>
          </w:pPr>
          <w:hyperlink w:anchor="_Toc181542590" w:history="1">
            <w:r w:rsidRPr="00E4782B">
              <w:rPr>
                <w:noProof/>
              </w:rPr>
              <w:object w:dxaOrig="2425" w:dyaOrig="2598" w14:anchorId="20854B1A">
                <v:shape id="_x0000_i1047" type="#_x0000_t75" style="width:9.75pt;height:9pt" o:ole="">
                  <v:imagedata r:id="rId11" o:title=""/>
                </v:shape>
                <o:OLEObject Type="Embed" ProgID="CorelDRAW.Graphic.13" ShapeID="_x0000_i1047" DrawAspect="Content" ObjectID="_1793685920" r:id="rId35"/>
              </w:object>
            </w:r>
            <w:r w:rsidRPr="00A11CCD">
              <w:rPr>
                <w:rStyle w:val="Hyperlink"/>
                <w:noProof/>
              </w:rPr>
              <w:t xml:space="preserve">VEDAÇÕES </w:t>
            </w:r>
            <w:r w:rsidRPr="00E8601E">
              <w:rPr>
                <w:noProof/>
              </w:rPr>
              <w:object w:dxaOrig="3163" w:dyaOrig="3187" w14:anchorId="349EF332">
                <v:shape id="_x0000_i1048" type="#_x0000_t75" style="width:21.75pt;height:23.25pt" o:ole="">
                  <v:imagedata r:id="rId13" o:title=""/>
                </v:shape>
                <o:OLEObject Type="Embed" ProgID="CorelDRAW.Graphic.13" ShapeID="_x0000_i1048" DrawAspect="Content" ObjectID="_1793685921" r:id="rId36"/>
              </w:object>
            </w:r>
            <w:r>
              <w:rPr>
                <w:noProof/>
                <w:webHidden/>
              </w:rPr>
              <w:tab/>
            </w:r>
            <w:r>
              <w:rPr>
                <w:noProof/>
                <w:webHidden/>
              </w:rPr>
              <w:fldChar w:fldCharType="begin"/>
            </w:r>
            <w:r>
              <w:rPr>
                <w:noProof/>
                <w:webHidden/>
              </w:rPr>
              <w:instrText xml:space="preserve"> PAGEREF _Toc181542590 \h </w:instrText>
            </w:r>
            <w:r>
              <w:rPr>
                <w:noProof/>
                <w:webHidden/>
              </w:rPr>
            </w:r>
            <w:r>
              <w:rPr>
                <w:noProof/>
                <w:webHidden/>
              </w:rPr>
              <w:fldChar w:fldCharType="separate"/>
            </w:r>
            <w:r>
              <w:rPr>
                <w:noProof/>
                <w:webHidden/>
              </w:rPr>
              <w:t>41</w:t>
            </w:r>
            <w:r>
              <w:rPr>
                <w:noProof/>
                <w:webHidden/>
              </w:rPr>
              <w:fldChar w:fldCharType="end"/>
            </w:r>
          </w:hyperlink>
        </w:p>
        <w:p w14:paraId="0A857264" w14:textId="232CE910" w:rsidR="00A75E13" w:rsidRDefault="00A75E13">
          <w:pPr>
            <w:pStyle w:val="Sumrio1"/>
            <w:tabs>
              <w:tab w:val="right" w:leader="dot" w:pos="9061"/>
            </w:tabs>
            <w:rPr>
              <w:b w:val="0"/>
              <w:bCs w:val="0"/>
              <w:caps w:val="0"/>
              <w:noProof/>
              <w:kern w:val="2"/>
              <w:sz w:val="22"/>
              <w:szCs w:val="22"/>
              <w14:ligatures w14:val="standardContextual"/>
            </w:rPr>
          </w:pPr>
          <w:hyperlink w:anchor="_Toc181542591" w:history="1">
            <w:r w:rsidRPr="00A11CCD">
              <w:rPr>
                <w:rStyle w:val="Hyperlink"/>
                <w:noProof/>
              </w:rPr>
              <w:t>DISPOSIÇÕES GERAIS</w:t>
            </w:r>
            <w:r w:rsidRPr="00E8601E">
              <w:rPr>
                <w:noProof/>
                <w:sz w:val="22"/>
              </w:rPr>
              <w:object w:dxaOrig="3163" w:dyaOrig="3187" w14:anchorId="50E49B55">
                <v:shape id="_x0000_i1049" type="#_x0000_t75" style="width:21.75pt;height:23.25pt" o:ole="">
                  <v:imagedata r:id="rId13" o:title=""/>
                </v:shape>
                <o:OLEObject Type="Embed" ProgID="CorelDRAW.Graphic.13" ShapeID="_x0000_i1049" DrawAspect="Content" ObjectID="_1793685922" r:id="rId37"/>
              </w:object>
            </w:r>
            <w:r>
              <w:rPr>
                <w:noProof/>
                <w:webHidden/>
              </w:rPr>
              <w:tab/>
            </w:r>
            <w:r>
              <w:rPr>
                <w:noProof/>
                <w:webHidden/>
              </w:rPr>
              <w:fldChar w:fldCharType="begin"/>
            </w:r>
            <w:r>
              <w:rPr>
                <w:noProof/>
                <w:webHidden/>
              </w:rPr>
              <w:instrText xml:space="preserve"> PAGEREF _Toc181542591 \h </w:instrText>
            </w:r>
            <w:r>
              <w:rPr>
                <w:noProof/>
                <w:webHidden/>
              </w:rPr>
            </w:r>
            <w:r>
              <w:rPr>
                <w:noProof/>
                <w:webHidden/>
              </w:rPr>
              <w:fldChar w:fldCharType="separate"/>
            </w:r>
            <w:r>
              <w:rPr>
                <w:noProof/>
                <w:webHidden/>
              </w:rPr>
              <w:t>42</w:t>
            </w:r>
            <w:r>
              <w:rPr>
                <w:noProof/>
                <w:webHidden/>
              </w:rPr>
              <w:fldChar w:fldCharType="end"/>
            </w:r>
          </w:hyperlink>
        </w:p>
        <w:p w14:paraId="3C820ABE" w14:textId="376AD939" w:rsidR="00A75E13" w:rsidRDefault="00A75E13">
          <w:pPr>
            <w:pStyle w:val="Sumrio2"/>
            <w:rPr>
              <w:rFonts w:asciiTheme="minorHAnsi" w:hAnsiTheme="minorHAnsi" w:cstheme="minorBidi"/>
              <w:smallCaps w:val="0"/>
              <w:kern w:val="2"/>
              <w:sz w:val="22"/>
              <w:szCs w:val="22"/>
              <w14:ligatures w14:val="standardContextual"/>
            </w:rPr>
          </w:pPr>
          <w:hyperlink w:anchor="_Toc181542592" w:history="1">
            <w:r w:rsidRPr="00A11CCD">
              <w:rPr>
                <w:rStyle w:val="Hyperlink"/>
                <w:b/>
                <w:bCs/>
              </w:rPr>
              <w:t>ANEXO I</w:t>
            </w:r>
            <w:r>
              <w:rPr>
                <w:webHidden/>
              </w:rPr>
              <w:tab/>
            </w:r>
            <w:r>
              <w:rPr>
                <w:webHidden/>
              </w:rPr>
              <w:fldChar w:fldCharType="begin"/>
            </w:r>
            <w:r>
              <w:rPr>
                <w:webHidden/>
              </w:rPr>
              <w:instrText xml:space="preserve"> PAGEREF _Toc181542592 \h </w:instrText>
            </w:r>
            <w:r>
              <w:rPr>
                <w:webHidden/>
              </w:rPr>
            </w:r>
            <w:r>
              <w:rPr>
                <w:webHidden/>
              </w:rPr>
              <w:fldChar w:fldCharType="separate"/>
            </w:r>
            <w:r>
              <w:rPr>
                <w:webHidden/>
              </w:rPr>
              <w:t>44</w:t>
            </w:r>
            <w:r>
              <w:rPr>
                <w:webHidden/>
              </w:rPr>
              <w:fldChar w:fldCharType="end"/>
            </w:r>
          </w:hyperlink>
        </w:p>
        <w:p w14:paraId="46A10921" w14:textId="63E2FF80" w:rsidR="000C021C" w:rsidRDefault="000C021C">
          <w:r>
            <w:rPr>
              <w:b/>
              <w:bCs/>
            </w:rPr>
            <w:fldChar w:fldCharType="end"/>
          </w:r>
        </w:p>
      </w:sdtContent>
    </w:sdt>
    <w:p w14:paraId="468CD8F2" w14:textId="77777777" w:rsidR="000F7FA7" w:rsidRDefault="000F7FA7">
      <w:pPr>
        <w:rPr>
          <w:rFonts w:ascii="Tahoma" w:hAnsi="Tahoma" w:cs="Tahoma"/>
          <w:b/>
          <w:bCs/>
          <w:caps/>
          <w:noProof/>
          <w:color w:val="002060"/>
          <w:sz w:val="20"/>
          <w:szCs w:val="20"/>
        </w:rPr>
      </w:pPr>
      <w:r>
        <w:rPr>
          <w:rFonts w:ascii="Tahoma" w:hAnsi="Tahoma" w:cs="Tahoma"/>
          <w:b/>
          <w:bCs/>
          <w:caps/>
          <w:noProof/>
          <w:color w:val="002060"/>
          <w:sz w:val="20"/>
          <w:szCs w:val="20"/>
        </w:rPr>
        <w:br w:type="page"/>
      </w:r>
    </w:p>
    <w:bookmarkStart w:id="0" w:name="_Toc181542552"/>
    <w:p w14:paraId="2CC9309C" w14:textId="727D28A3" w:rsidR="00465C63" w:rsidRPr="00D63B08" w:rsidRDefault="00465C63" w:rsidP="00EC5FD6">
      <w:pPr>
        <w:spacing w:after="120"/>
        <w:jc w:val="both"/>
        <w:outlineLvl w:val="0"/>
      </w:pPr>
      <w:r w:rsidRPr="00E4782B">
        <w:object w:dxaOrig="2425" w:dyaOrig="2598" w14:anchorId="75C02728">
          <v:shape id="_x0000_i1050" type="#_x0000_t75" style="width:9.75pt;height:9pt" o:ole="">
            <v:imagedata r:id="rId11" o:title=""/>
          </v:shape>
          <o:OLEObject Type="Embed" ProgID="CorelDRAW.Graphic.13" ShapeID="_x0000_i1050" DrawAspect="Content" ObjectID="_1793685923" r:id="rId38"/>
        </w:object>
      </w:r>
      <w:r w:rsidRPr="00E4782B">
        <w:t xml:space="preserve"> </w:t>
      </w:r>
      <w:r w:rsidRPr="00310447">
        <w:rPr>
          <w:rStyle w:val="Ttulo1Char"/>
        </w:rPr>
        <w:t>APRESENTAÇÃO</w:t>
      </w:r>
      <w:r w:rsidRPr="00CD149C">
        <w:rPr>
          <w:rFonts w:ascii="Tahoma" w:hAnsi="Tahoma" w:cs="Tahoma"/>
          <w:b/>
          <w:color w:val="002060"/>
          <w:sz w:val="28"/>
          <w:szCs w:val="28"/>
        </w:rPr>
        <w:t xml:space="preserve"> </w:t>
      </w:r>
      <w:bookmarkEnd w:id="0"/>
      <w:r w:rsidRPr="00E4782B">
        <w:object w:dxaOrig="3163" w:dyaOrig="3187" w14:anchorId="67AB3160">
          <v:shape id="_x0000_i1051" type="#_x0000_t75" style="width:21.75pt;height:23.25pt" o:ole="">
            <v:imagedata r:id="rId13" o:title=""/>
          </v:shape>
          <o:OLEObject Type="Embed" ProgID="CorelDRAW.Graphic.13" ShapeID="_x0000_i1051" DrawAspect="Content" ObjectID="_1793685924" r:id="rId39"/>
        </w:object>
      </w:r>
    </w:p>
    <w:p w14:paraId="3D5A989B" w14:textId="77777777" w:rsidR="00465C63" w:rsidRPr="00E8601E" w:rsidRDefault="00465C63" w:rsidP="00EC5FD6">
      <w:pPr>
        <w:pStyle w:val="Subttulo"/>
        <w:rPr>
          <w:sz w:val="20"/>
        </w:rPr>
      </w:pPr>
      <w:bookmarkStart w:id="1" w:name="_Toc181542553"/>
      <w:r w:rsidRPr="00E8601E">
        <w:rPr>
          <w:sz w:val="20"/>
        </w:rPr>
        <w:t>Do O</w:t>
      </w:r>
      <w:r w:rsidRPr="00E8601E">
        <w:rPr>
          <w:rStyle w:val="SubttuloChar"/>
          <w:b/>
          <w:sz w:val="20"/>
        </w:rPr>
        <w:t>bjet</w:t>
      </w:r>
      <w:r w:rsidRPr="00E8601E">
        <w:rPr>
          <w:sz w:val="20"/>
        </w:rPr>
        <w:t>o</w:t>
      </w:r>
      <w:bookmarkEnd w:id="1"/>
    </w:p>
    <w:p w14:paraId="53F50CC3" w14:textId="04C68AED" w:rsidR="002326E7" w:rsidRPr="00BC3DE6" w:rsidRDefault="00465C63" w:rsidP="000F7FA7">
      <w:pPr>
        <w:spacing w:after="120"/>
        <w:ind w:firstLine="709"/>
        <w:jc w:val="both"/>
        <w:rPr>
          <w:rFonts w:ascii="Tahoma" w:hAnsi="Tahoma" w:cs="Tahoma"/>
          <w:b/>
          <w:bCs/>
          <w:sz w:val="20"/>
        </w:rPr>
      </w:pPr>
      <w:r w:rsidRPr="00BC3DE6">
        <w:rPr>
          <w:rFonts w:ascii="Tahoma" w:hAnsi="Tahoma" w:cs="Tahoma"/>
          <w:sz w:val="20"/>
        </w:rPr>
        <w:t xml:space="preserve">Esta </w:t>
      </w:r>
      <w:r w:rsidR="007A0B11" w:rsidRPr="00BC3DE6">
        <w:rPr>
          <w:rFonts w:ascii="Tahoma" w:hAnsi="Tahoma" w:cs="Tahoma"/>
          <w:sz w:val="20"/>
        </w:rPr>
        <w:t>Política de Investimentos</w:t>
      </w:r>
      <w:r w:rsidRPr="00BC3DE6">
        <w:rPr>
          <w:rFonts w:ascii="Tahoma" w:hAnsi="Tahoma" w:cs="Tahoma"/>
          <w:sz w:val="20"/>
        </w:rPr>
        <w:t xml:space="preserve"> dispõe sobre as aplicações dos recursos do </w:t>
      </w:r>
      <w:r w:rsidR="00F53C5D" w:rsidRPr="00BC3DE6">
        <w:rPr>
          <w:rFonts w:ascii="Tahoma" w:hAnsi="Tahoma" w:cs="Tahoma"/>
          <w:sz w:val="20"/>
        </w:rPr>
        <w:t>Regime Próprio de Previdência Social</w:t>
      </w:r>
      <w:r w:rsidRPr="00BC3DE6">
        <w:rPr>
          <w:rFonts w:ascii="Tahoma" w:hAnsi="Tahoma" w:cs="Tahoma"/>
          <w:sz w:val="20"/>
        </w:rPr>
        <w:t xml:space="preserve"> (RPPS) instituído pelo </w:t>
      </w:r>
      <w:r w:rsidR="00BC7F77" w:rsidRPr="00BC3DE6">
        <w:rPr>
          <w:rFonts w:ascii="Tahoma" w:hAnsi="Tahoma" w:cs="Tahoma"/>
          <w:b/>
          <w:noProof/>
          <w:sz w:val="20"/>
        </w:rPr>
        <w:fldChar w:fldCharType="begin"/>
      </w:r>
      <w:r w:rsidR="00BC7F77" w:rsidRPr="00BC3DE6">
        <w:rPr>
          <w:rFonts w:ascii="Tahoma" w:hAnsi="Tahoma" w:cs="Tahoma"/>
          <w:b/>
          <w:noProof/>
          <w:sz w:val="20"/>
        </w:rPr>
        <w:instrText xml:space="preserve"> MERGEFIELD RPPS </w:instrText>
      </w:r>
      <w:r w:rsidR="00BC7F77" w:rsidRPr="00BC3DE6">
        <w:rPr>
          <w:rFonts w:ascii="Tahoma" w:hAnsi="Tahoma" w:cs="Tahoma"/>
          <w:b/>
          <w:noProof/>
          <w:sz w:val="20"/>
        </w:rPr>
        <w:fldChar w:fldCharType="separate"/>
      </w:r>
      <w:r w:rsidR="00A14265" w:rsidRPr="00BC514D">
        <w:rPr>
          <w:rFonts w:ascii="Tahoma" w:hAnsi="Tahoma" w:cs="Tahoma"/>
          <w:b/>
          <w:noProof/>
          <w:sz w:val="20"/>
        </w:rPr>
        <w:t>MUNICÍPIO DE TRIUNFO</w:t>
      </w:r>
      <w:r w:rsidR="00BC7F77" w:rsidRPr="00BC3DE6">
        <w:rPr>
          <w:rFonts w:ascii="Tahoma" w:hAnsi="Tahoma" w:cs="Tahoma"/>
          <w:b/>
          <w:noProof/>
          <w:sz w:val="20"/>
        </w:rPr>
        <w:fldChar w:fldCharType="end"/>
      </w:r>
      <w:r w:rsidRPr="00BC3DE6">
        <w:rPr>
          <w:rFonts w:ascii="Tahoma" w:hAnsi="Tahoma" w:cs="Tahoma"/>
          <w:sz w:val="20"/>
        </w:rPr>
        <w:t xml:space="preserve">. Fica estabelecido que os recursos do </w:t>
      </w:r>
      <w:r w:rsidR="00F53C5D" w:rsidRPr="00BC3DE6">
        <w:rPr>
          <w:rFonts w:ascii="Tahoma" w:hAnsi="Tahoma" w:cs="Tahoma"/>
          <w:sz w:val="20"/>
        </w:rPr>
        <w:t>Regime Próprio de Previdência Social</w:t>
      </w:r>
      <w:r w:rsidR="0052501B" w:rsidRPr="00BC3DE6">
        <w:rPr>
          <w:rFonts w:ascii="Tahoma" w:hAnsi="Tahoma" w:cs="Tahoma"/>
          <w:sz w:val="20"/>
        </w:rPr>
        <w:t xml:space="preserve">, </w:t>
      </w:r>
      <w:r w:rsidRPr="00BC3DE6">
        <w:rPr>
          <w:rFonts w:ascii="Tahoma" w:hAnsi="Tahoma" w:cs="Tahoma"/>
          <w:sz w:val="20"/>
        </w:rPr>
        <w:t>instituído nos termos da Lei nº 9.717, de 27 de novembro de 1998, devem ser aplicados conforme</w:t>
      </w:r>
      <w:r w:rsidRPr="00E8601E">
        <w:rPr>
          <w:rFonts w:ascii="Tahoma" w:hAnsi="Tahoma" w:cs="Tahoma"/>
          <w:sz w:val="20"/>
        </w:rPr>
        <w:t xml:space="preserve"> a legislação em vigor, tendo presentes as condições de segurança, rentabilidade, solvência, liquidez e transparência</w:t>
      </w:r>
      <w:r w:rsidR="0095399B">
        <w:rPr>
          <w:rFonts w:ascii="Tahoma" w:hAnsi="Tahoma" w:cs="Tahoma"/>
          <w:sz w:val="20"/>
        </w:rPr>
        <w:t>.</w:t>
      </w:r>
      <w:r w:rsidR="00BC3DE6">
        <w:rPr>
          <w:rFonts w:ascii="Tahoma" w:hAnsi="Tahoma" w:cs="Tahoma"/>
          <w:sz w:val="20"/>
        </w:rPr>
        <w:t xml:space="preserve"> </w:t>
      </w:r>
      <w:r w:rsidR="0095399B">
        <w:rPr>
          <w:rFonts w:ascii="Tahoma" w:hAnsi="Tahoma" w:cs="Tahoma"/>
          <w:sz w:val="20"/>
        </w:rPr>
        <w:t>E</w:t>
      </w:r>
      <w:r w:rsidR="00BC3DE6" w:rsidRPr="007930C5">
        <w:rPr>
          <w:rFonts w:ascii="Tahoma" w:hAnsi="Tahoma" w:cs="Tahoma"/>
          <w:sz w:val="20"/>
        </w:rPr>
        <w:t>ste esboço contempla os requisitos mínimos ex</w:t>
      </w:r>
      <w:r w:rsidR="0095399B">
        <w:rPr>
          <w:rFonts w:ascii="Tahoma" w:hAnsi="Tahoma" w:cs="Tahoma"/>
          <w:sz w:val="20"/>
        </w:rPr>
        <w:t>i</w:t>
      </w:r>
      <w:r w:rsidR="00BC3DE6" w:rsidRPr="007930C5">
        <w:rPr>
          <w:rFonts w:ascii="Tahoma" w:hAnsi="Tahoma" w:cs="Tahoma"/>
          <w:sz w:val="20"/>
        </w:rPr>
        <w:t xml:space="preserve">gidos no </w:t>
      </w:r>
      <w:r w:rsidR="00BC3DE6" w:rsidRPr="007930C5">
        <w:rPr>
          <w:rFonts w:ascii="Tahoma" w:hAnsi="Tahoma" w:cs="Tahoma"/>
          <w:b/>
          <w:bCs/>
          <w:sz w:val="20"/>
        </w:rPr>
        <w:t>Art</w:t>
      </w:r>
      <w:r w:rsidR="007930C5">
        <w:rPr>
          <w:rFonts w:ascii="Tahoma" w:hAnsi="Tahoma" w:cs="Tahoma"/>
          <w:b/>
          <w:bCs/>
          <w:sz w:val="20"/>
        </w:rPr>
        <w:t>.</w:t>
      </w:r>
      <w:r w:rsidR="00BC3DE6" w:rsidRPr="007930C5">
        <w:rPr>
          <w:rFonts w:ascii="Tahoma" w:hAnsi="Tahoma" w:cs="Tahoma"/>
          <w:b/>
          <w:bCs/>
          <w:sz w:val="20"/>
        </w:rPr>
        <w:t xml:space="preserve"> 102 </w:t>
      </w:r>
      <w:r w:rsidR="007930C5">
        <w:rPr>
          <w:rFonts w:ascii="Tahoma" w:hAnsi="Tahoma" w:cs="Tahoma"/>
          <w:b/>
          <w:bCs/>
          <w:sz w:val="20"/>
        </w:rPr>
        <w:t xml:space="preserve">da </w:t>
      </w:r>
      <w:r w:rsidR="00BC3DE6" w:rsidRPr="007930C5">
        <w:rPr>
          <w:rFonts w:ascii="Tahoma" w:hAnsi="Tahoma" w:cs="Tahoma"/>
          <w:b/>
          <w:bCs/>
          <w:sz w:val="20"/>
        </w:rPr>
        <w:t>Portaria MTP</w:t>
      </w:r>
      <w:r w:rsidR="007930C5">
        <w:rPr>
          <w:rFonts w:ascii="Tahoma" w:hAnsi="Tahoma" w:cs="Tahoma"/>
          <w:b/>
          <w:bCs/>
          <w:sz w:val="20"/>
        </w:rPr>
        <w:t xml:space="preserve"> </w:t>
      </w:r>
      <w:r w:rsidR="007930C5" w:rsidRPr="007930C5">
        <w:rPr>
          <w:rFonts w:ascii="Tahoma" w:hAnsi="Tahoma" w:cs="Tahoma"/>
          <w:b/>
          <w:bCs/>
          <w:sz w:val="20"/>
        </w:rPr>
        <w:t>n°</w:t>
      </w:r>
      <w:r w:rsidR="00BC3DE6" w:rsidRPr="007930C5">
        <w:rPr>
          <w:rFonts w:ascii="Tahoma" w:hAnsi="Tahoma" w:cs="Tahoma"/>
          <w:b/>
          <w:bCs/>
          <w:sz w:val="20"/>
        </w:rPr>
        <w:t xml:space="preserve"> 1</w:t>
      </w:r>
      <w:r w:rsidR="007930C5">
        <w:rPr>
          <w:rFonts w:ascii="Tahoma" w:hAnsi="Tahoma" w:cs="Tahoma"/>
          <w:b/>
          <w:bCs/>
          <w:sz w:val="20"/>
        </w:rPr>
        <w:t>.</w:t>
      </w:r>
      <w:r w:rsidR="00BC3DE6" w:rsidRPr="007930C5">
        <w:rPr>
          <w:rFonts w:ascii="Tahoma" w:hAnsi="Tahoma" w:cs="Tahoma"/>
          <w:b/>
          <w:bCs/>
          <w:sz w:val="20"/>
        </w:rPr>
        <w:t>467/2022</w:t>
      </w:r>
      <w:r w:rsidR="00BC3DE6">
        <w:rPr>
          <w:rFonts w:ascii="Tahoma" w:hAnsi="Tahoma" w:cs="Tahoma"/>
          <w:b/>
          <w:bCs/>
          <w:sz w:val="20"/>
        </w:rPr>
        <w:t>.</w:t>
      </w:r>
    </w:p>
    <w:p w14:paraId="44E748DC" w14:textId="7683996E" w:rsidR="00465C63" w:rsidRPr="00E8601E" w:rsidRDefault="00465C63" w:rsidP="000F7FA7">
      <w:pPr>
        <w:spacing w:after="120"/>
        <w:ind w:firstLine="709"/>
        <w:jc w:val="both"/>
        <w:rPr>
          <w:rFonts w:ascii="Tahoma" w:hAnsi="Tahoma" w:cs="Tahoma"/>
          <w:sz w:val="20"/>
        </w:rPr>
      </w:pPr>
      <w:r w:rsidRPr="00BC3DE6">
        <w:rPr>
          <w:rFonts w:ascii="Tahoma" w:hAnsi="Tahoma" w:cs="Tahoma"/>
          <w:sz w:val="20"/>
        </w:rPr>
        <w:t xml:space="preserve">Observadas as limitações e condições estabelecidas na legislação vigente, os recursos do </w:t>
      </w:r>
      <w:r w:rsidR="00F53C5D" w:rsidRPr="00BC3DE6">
        <w:rPr>
          <w:rFonts w:ascii="Tahoma" w:hAnsi="Tahoma" w:cs="Tahoma"/>
          <w:sz w:val="20"/>
        </w:rPr>
        <w:t>Regime Próprio de Previdência Social</w:t>
      </w:r>
      <w:r w:rsidRPr="00BC3DE6">
        <w:rPr>
          <w:rFonts w:ascii="Tahoma" w:hAnsi="Tahoma" w:cs="Tahoma"/>
          <w:sz w:val="20"/>
        </w:rPr>
        <w:t xml:space="preserve"> devem ser alocados conforme as diretrizes definidas nesta </w:t>
      </w:r>
      <w:r w:rsidR="007A0B11" w:rsidRPr="00BC3DE6">
        <w:rPr>
          <w:rFonts w:ascii="Tahoma" w:hAnsi="Tahoma" w:cs="Tahoma"/>
          <w:sz w:val="20"/>
        </w:rPr>
        <w:t>Política de Investimentos</w:t>
      </w:r>
      <w:r w:rsidRPr="00BC3DE6">
        <w:rPr>
          <w:rFonts w:ascii="Tahoma" w:hAnsi="Tahoma" w:cs="Tahoma"/>
          <w:sz w:val="20"/>
        </w:rPr>
        <w:t>, nos seguintes segmentos de aplicação: renda fixa</w:t>
      </w:r>
      <w:r w:rsidR="0052501B" w:rsidRPr="00BC3DE6">
        <w:rPr>
          <w:rFonts w:ascii="Tahoma" w:hAnsi="Tahoma" w:cs="Tahoma"/>
          <w:sz w:val="20"/>
        </w:rPr>
        <w:t>,</w:t>
      </w:r>
      <w:r w:rsidRPr="00BC3DE6">
        <w:rPr>
          <w:rFonts w:ascii="Tahoma" w:hAnsi="Tahoma" w:cs="Tahoma"/>
          <w:sz w:val="20"/>
        </w:rPr>
        <w:t xml:space="preserve"> renda variável</w:t>
      </w:r>
      <w:r w:rsidR="0052501B" w:rsidRPr="00BC3DE6">
        <w:rPr>
          <w:rFonts w:ascii="Tahoma" w:hAnsi="Tahoma" w:cs="Tahoma"/>
          <w:sz w:val="20"/>
        </w:rPr>
        <w:t>,</w:t>
      </w:r>
      <w:r w:rsidR="00414E7A" w:rsidRPr="00BC3DE6">
        <w:rPr>
          <w:rFonts w:ascii="Tahoma" w:hAnsi="Tahoma" w:cs="Tahoma"/>
          <w:sz w:val="20"/>
        </w:rPr>
        <w:t xml:space="preserve"> investimentos no exterior</w:t>
      </w:r>
      <w:r w:rsidR="0052501B" w:rsidRPr="00BC3DE6">
        <w:rPr>
          <w:rFonts w:ascii="Tahoma" w:hAnsi="Tahoma" w:cs="Tahoma"/>
          <w:sz w:val="20"/>
        </w:rPr>
        <w:t>,</w:t>
      </w:r>
      <w:r w:rsidR="00414E7A" w:rsidRPr="00BC3DE6">
        <w:rPr>
          <w:rFonts w:ascii="Tahoma" w:hAnsi="Tahoma" w:cs="Tahoma"/>
          <w:sz w:val="20"/>
        </w:rPr>
        <w:t xml:space="preserve"> investimentos estruturados</w:t>
      </w:r>
      <w:r w:rsidR="0052501B" w:rsidRPr="00BC3DE6">
        <w:rPr>
          <w:rFonts w:ascii="Tahoma" w:hAnsi="Tahoma" w:cs="Tahoma"/>
          <w:sz w:val="20"/>
        </w:rPr>
        <w:t>,</w:t>
      </w:r>
      <w:r w:rsidR="00414E7A" w:rsidRPr="00BC3DE6">
        <w:rPr>
          <w:rFonts w:ascii="Tahoma" w:hAnsi="Tahoma" w:cs="Tahoma"/>
          <w:sz w:val="20"/>
        </w:rPr>
        <w:t xml:space="preserve"> fundos imobiliários</w:t>
      </w:r>
      <w:r w:rsidRPr="00BC3DE6">
        <w:rPr>
          <w:rFonts w:ascii="Tahoma" w:hAnsi="Tahoma" w:cs="Tahoma"/>
          <w:sz w:val="20"/>
        </w:rPr>
        <w:t xml:space="preserve"> e </w:t>
      </w:r>
      <w:r w:rsidR="007A4CD5" w:rsidRPr="00BC3DE6">
        <w:rPr>
          <w:rFonts w:ascii="Tahoma" w:hAnsi="Tahoma" w:cs="Tahoma"/>
          <w:sz w:val="20"/>
        </w:rPr>
        <w:t>empréstimos consignados</w:t>
      </w:r>
      <w:r w:rsidRPr="00BC3DE6">
        <w:rPr>
          <w:rFonts w:ascii="Tahoma" w:hAnsi="Tahoma" w:cs="Tahoma"/>
          <w:sz w:val="20"/>
        </w:rPr>
        <w:t xml:space="preserve">. São considerados recursos </w:t>
      </w:r>
      <w:r w:rsidR="00F53C5D" w:rsidRPr="00BC3DE6">
        <w:rPr>
          <w:rFonts w:ascii="Tahoma" w:hAnsi="Tahoma" w:cs="Tahoma"/>
          <w:sz w:val="20"/>
        </w:rPr>
        <w:t>Regime Próprio de Previdência Social</w:t>
      </w:r>
      <w:r w:rsidRPr="00BC3DE6">
        <w:rPr>
          <w:rFonts w:ascii="Tahoma" w:hAnsi="Tahoma" w:cs="Tahoma"/>
          <w:sz w:val="20"/>
        </w:rPr>
        <w:t>: as disponibilidades oriundas das receitas correntes e de capital</w:t>
      </w:r>
      <w:r w:rsidR="0052501B" w:rsidRPr="00BC3DE6">
        <w:rPr>
          <w:rFonts w:ascii="Tahoma" w:hAnsi="Tahoma" w:cs="Tahoma"/>
          <w:sz w:val="20"/>
        </w:rPr>
        <w:t>,</w:t>
      </w:r>
      <w:r w:rsidRPr="00BC3DE6">
        <w:rPr>
          <w:rFonts w:ascii="Tahoma" w:hAnsi="Tahoma" w:cs="Tahoma"/>
          <w:sz w:val="20"/>
        </w:rPr>
        <w:t xml:space="preserve"> os demais ingressos financeiros auferidos pelo </w:t>
      </w:r>
      <w:r w:rsidR="00F53C5D" w:rsidRPr="00BC3DE6">
        <w:rPr>
          <w:rFonts w:ascii="Tahoma" w:hAnsi="Tahoma" w:cs="Tahoma"/>
          <w:sz w:val="20"/>
        </w:rPr>
        <w:t>Regime Próprio de Previdência Social</w:t>
      </w:r>
      <w:r w:rsidR="0052501B" w:rsidRPr="00BC3DE6">
        <w:rPr>
          <w:rFonts w:ascii="Tahoma" w:hAnsi="Tahoma" w:cs="Tahoma"/>
          <w:sz w:val="20"/>
        </w:rPr>
        <w:t>,</w:t>
      </w:r>
      <w:r w:rsidRPr="00BC3DE6">
        <w:rPr>
          <w:rFonts w:ascii="Tahoma" w:hAnsi="Tahoma" w:cs="Tahoma"/>
          <w:sz w:val="20"/>
        </w:rPr>
        <w:t xml:space="preserve"> as aplicações financeiras</w:t>
      </w:r>
      <w:r w:rsidR="0052501B" w:rsidRPr="00BC3DE6">
        <w:rPr>
          <w:rFonts w:ascii="Tahoma" w:hAnsi="Tahoma" w:cs="Tahoma"/>
          <w:sz w:val="20"/>
        </w:rPr>
        <w:t>,</w:t>
      </w:r>
      <w:r w:rsidRPr="00BC3DE6">
        <w:rPr>
          <w:rFonts w:ascii="Tahoma" w:hAnsi="Tahoma" w:cs="Tahoma"/>
          <w:sz w:val="20"/>
        </w:rPr>
        <w:t xml:space="preserve"> os títulos e os valores mobiliários</w:t>
      </w:r>
      <w:r w:rsidR="00133032" w:rsidRPr="00BC3DE6">
        <w:rPr>
          <w:rFonts w:ascii="Tahoma" w:hAnsi="Tahoma" w:cs="Tahoma"/>
          <w:sz w:val="20"/>
        </w:rPr>
        <w:t>,</w:t>
      </w:r>
      <w:r w:rsidRPr="00BC3DE6">
        <w:rPr>
          <w:rFonts w:ascii="Tahoma" w:hAnsi="Tahoma" w:cs="Tahoma"/>
          <w:sz w:val="20"/>
        </w:rPr>
        <w:t xml:space="preserve"> os ativos vinculados por lei ao fundo integrado de previdência e demais bens, direitos e ativos com finalidade previdenciária do </w:t>
      </w:r>
      <w:r w:rsidR="00F53C5D" w:rsidRPr="00BC3DE6">
        <w:rPr>
          <w:rFonts w:ascii="Tahoma" w:hAnsi="Tahoma" w:cs="Tahoma"/>
          <w:sz w:val="20"/>
        </w:rPr>
        <w:t>Regime Próprio de Previdência Social</w:t>
      </w:r>
      <w:r w:rsidRPr="00BC3DE6">
        <w:rPr>
          <w:rFonts w:ascii="Tahoma" w:hAnsi="Tahoma" w:cs="Tahoma"/>
          <w:sz w:val="20"/>
        </w:rPr>
        <w:t>.</w:t>
      </w:r>
    </w:p>
    <w:p w14:paraId="77E307B2" w14:textId="77777777" w:rsidR="00465C63" w:rsidRPr="00E8601E" w:rsidRDefault="00465C63" w:rsidP="000F7FA7">
      <w:pPr>
        <w:spacing w:after="120"/>
        <w:ind w:firstLine="709"/>
        <w:jc w:val="both"/>
        <w:rPr>
          <w:rFonts w:ascii="Tahoma" w:hAnsi="Tahoma" w:cs="Tahoma"/>
          <w:sz w:val="20"/>
        </w:rPr>
      </w:pPr>
    </w:p>
    <w:p w14:paraId="5BAB2775" w14:textId="77777777" w:rsidR="00465C63" w:rsidRPr="00BC3DE6" w:rsidRDefault="00465C63" w:rsidP="00EC5FD6">
      <w:pPr>
        <w:pStyle w:val="Subttulo"/>
        <w:rPr>
          <w:sz w:val="20"/>
        </w:rPr>
      </w:pPr>
      <w:bookmarkStart w:id="2" w:name="_Toc181542554"/>
      <w:r w:rsidRPr="00BC3DE6">
        <w:rPr>
          <w:sz w:val="20"/>
        </w:rPr>
        <w:t>Da Administração</w:t>
      </w:r>
      <w:bookmarkEnd w:id="2"/>
    </w:p>
    <w:p w14:paraId="50158DA4" w14:textId="3005DE49" w:rsidR="00465C63" w:rsidRPr="00BC3DE6" w:rsidRDefault="00465C63" w:rsidP="000F7FA7">
      <w:pPr>
        <w:spacing w:after="120"/>
        <w:ind w:firstLine="709"/>
        <w:jc w:val="both"/>
        <w:rPr>
          <w:rFonts w:ascii="Tahoma" w:hAnsi="Tahoma" w:cs="Tahoma"/>
          <w:sz w:val="20"/>
        </w:rPr>
      </w:pPr>
      <w:r w:rsidRPr="00BC3DE6">
        <w:rPr>
          <w:rFonts w:ascii="Tahoma" w:hAnsi="Tahoma" w:cs="Tahoma"/>
          <w:sz w:val="20"/>
        </w:rPr>
        <w:t xml:space="preserve">O </w:t>
      </w:r>
      <w:r w:rsidR="00F53C5D" w:rsidRPr="00BC3DE6">
        <w:rPr>
          <w:rFonts w:ascii="Tahoma" w:hAnsi="Tahoma" w:cs="Tahoma"/>
          <w:sz w:val="20"/>
        </w:rPr>
        <w:t>Regime Próprio de Previdência Social</w:t>
      </w:r>
      <w:r w:rsidR="00133032" w:rsidRPr="00BC3DE6">
        <w:rPr>
          <w:rFonts w:ascii="Tahoma" w:hAnsi="Tahoma" w:cs="Tahoma"/>
          <w:sz w:val="20"/>
        </w:rPr>
        <w:t xml:space="preserve"> </w:t>
      </w:r>
      <w:r w:rsidRPr="00BC3DE6">
        <w:rPr>
          <w:rFonts w:ascii="Tahoma" w:hAnsi="Tahoma" w:cs="Tahoma"/>
          <w:sz w:val="20"/>
        </w:rPr>
        <w:t xml:space="preserve">do </w:t>
      </w:r>
      <w:r w:rsidR="00BC7F77" w:rsidRPr="00BC3DE6">
        <w:rPr>
          <w:rFonts w:ascii="Tahoma" w:hAnsi="Tahoma" w:cs="Tahoma"/>
          <w:b/>
          <w:noProof/>
          <w:sz w:val="20"/>
        </w:rPr>
        <w:fldChar w:fldCharType="begin"/>
      </w:r>
      <w:r w:rsidR="00BC7F77" w:rsidRPr="00BC3DE6">
        <w:rPr>
          <w:rFonts w:ascii="Tahoma" w:hAnsi="Tahoma" w:cs="Tahoma"/>
          <w:b/>
          <w:noProof/>
          <w:sz w:val="20"/>
        </w:rPr>
        <w:instrText xml:space="preserve"> MERGEFIELD RPPS </w:instrText>
      </w:r>
      <w:r w:rsidR="00BC7F77" w:rsidRPr="00BC3DE6">
        <w:rPr>
          <w:rFonts w:ascii="Tahoma" w:hAnsi="Tahoma" w:cs="Tahoma"/>
          <w:b/>
          <w:noProof/>
          <w:sz w:val="20"/>
        </w:rPr>
        <w:fldChar w:fldCharType="separate"/>
      </w:r>
      <w:r w:rsidR="00A14265" w:rsidRPr="00BC514D">
        <w:rPr>
          <w:rFonts w:ascii="Tahoma" w:hAnsi="Tahoma" w:cs="Tahoma"/>
          <w:b/>
          <w:noProof/>
          <w:sz w:val="20"/>
        </w:rPr>
        <w:t>MUNICÍPIO DE TRIUNFO</w:t>
      </w:r>
      <w:r w:rsidR="00BC7F77" w:rsidRPr="00BC3DE6">
        <w:rPr>
          <w:rFonts w:ascii="Tahoma" w:hAnsi="Tahoma" w:cs="Tahoma"/>
          <w:b/>
          <w:noProof/>
          <w:sz w:val="20"/>
        </w:rPr>
        <w:fldChar w:fldCharType="end"/>
      </w:r>
      <w:r w:rsidRPr="00BC3DE6">
        <w:rPr>
          <w:rFonts w:ascii="Tahoma" w:hAnsi="Tahoma" w:cs="Tahoma"/>
          <w:b/>
          <w:sz w:val="20"/>
        </w:rPr>
        <w:t xml:space="preserve"> </w:t>
      </w:r>
      <w:r w:rsidRPr="00BC3DE6">
        <w:rPr>
          <w:rFonts w:ascii="Tahoma" w:hAnsi="Tahoma" w:cs="Tahoma"/>
          <w:sz w:val="20"/>
          <w:szCs w:val="20"/>
        </w:rPr>
        <w:t xml:space="preserve">é administrado pela UNIDADE GESTORA representada pelo </w:t>
      </w:r>
      <w:r w:rsidR="00BC7F77" w:rsidRPr="00BC3DE6">
        <w:rPr>
          <w:rFonts w:ascii="Tahoma" w:hAnsi="Tahoma" w:cs="Tahoma"/>
          <w:b/>
          <w:noProof/>
          <w:sz w:val="20"/>
        </w:rPr>
        <w:fldChar w:fldCharType="begin"/>
      </w:r>
      <w:r w:rsidR="00BC7F77" w:rsidRPr="00BC3DE6">
        <w:rPr>
          <w:rFonts w:ascii="Tahoma" w:hAnsi="Tahoma" w:cs="Tahoma"/>
          <w:b/>
          <w:noProof/>
          <w:sz w:val="20"/>
        </w:rPr>
        <w:instrText xml:space="preserve"> MERGEFIELD NOME_DO_FUNDO </w:instrText>
      </w:r>
      <w:r w:rsidR="00BC7F77" w:rsidRPr="00BC3DE6">
        <w:rPr>
          <w:rFonts w:ascii="Tahoma" w:hAnsi="Tahoma" w:cs="Tahoma"/>
          <w:b/>
          <w:noProof/>
          <w:sz w:val="20"/>
        </w:rPr>
        <w:fldChar w:fldCharType="separate"/>
      </w:r>
      <w:r w:rsidR="00A14265" w:rsidRPr="00BC514D">
        <w:rPr>
          <w:rFonts w:ascii="Tahoma" w:hAnsi="Tahoma" w:cs="Tahoma"/>
          <w:b/>
          <w:noProof/>
          <w:sz w:val="20"/>
        </w:rPr>
        <w:t>FUNDO DE ASSISTÊNCIA E PREVIDÊNCIA DOS SERVIDORES ESTATUTÁRIOS DO MUNICÍPIO DE TRIUNFO – FAPETRI</w:t>
      </w:r>
      <w:r w:rsidR="00BC7F77" w:rsidRPr="00BC3DE6">
        <w:rPr>
          <w:rFonts w:ascii="Tahoma" w:hAnsi="Tahoma" w:cs="Tahoma"/>
          <w:b/>
          <w:noProof/>
          <w:sz w:val="20"/>
        </w:rPr>
        <w:fldChar w:fldCharType="end"/>
      </w:r>
      <w:r w:rsidRPr="0095399B">
        <w:rPr>
          <w:rFonts w:ascii="Tahoma" w:hAnsi="Tahoma" w:cs="Tahoma"/>
          <w:bCs/>
          <w:sz w:val="20"/>
        </w:rPr>
        <w:t xml:space="preserve"> </w:t>
      </w:r>
      <w:r w:rsidR="0095399B" w:rsidRPr="0095399B">
        <w:rPr>
          <w:rFonts w:ascii="Tahoma" w:hAnsi="Tahoma" w:cs="Tahoma"/>
          <w:bCs/>
          <w:sz w:val="20"/>
        </w:rPr>
        <w:t>sito</w:t>
      </w:r>
      <w:r w:rsidR="0095399B">
        <w:rPr>
          <w:rFonts w:ascii="Tahoma" w:hAnsi="Tahoma" w:cs="Tahoma"/>
          <w:b/>
          <w:sz w:val="20"/>
        </w:rPr>
        <w:t xml:space="preserve"> </w:t>
      </w:r>
      <w:r w:rsidRPr="00BC3DE6">
        <w:rPr>
          <w:rFonts w:ascii="Tahoma" w:hAnsi="Tahoma" w:cs="Tahoma"/>
          <w:sz w:val="20"/>
        </w:rPr>
        <w:t xml:space="preserve">na </w:t>
      </w:r>
      <w:r w:rsidR="00E20929" w:rsidRPr="00BC3DE6">
        <w:rPr>
          <w:rFonts w:ascii="Tahoma" w:hAnsi="Tahoma" w:cs="Tahoma"/>
          <w:noProof/>
          <w:sz w:val="20"/>
        </w:rPr>
        <w:fldChar w:fldCharType="begin"/>
      </w:r>
      <w:r w:rsidR="00E20929" w:rsidRPr="00BC3DE6">
        <w:rPr>
          <w:rFonts w:ascii="Tahoma" w:hAnsi="Tahoma" w:cs="Tahoma"/>
          <w:noProof/>
          <w:sz w:val="20"/>
        </w:rPr>
        <w:instrText xml:space="preserve"> MERGEFIELD ENDEREÇO </w:instrText>
      </w:r>
      <w:r w:rsidR="00E20929" w:rsidRPr="00BC3DE6">
        <w:rPr>
          <w:rFonts w:ascii="Tahoma" w:hAnsi="Tahoma" w:cs="Tahoma"/>
          <w:noProof/>
          <w:sz w:val="20"/>
        </w:rPr>
        <w:fldChar w:fldCharType="separate"/>
      </w:r>
      <w:r w:rsidR="00A14265" w:rsidRPr="00BC514D">
        <w:rPr>
          <w:rFonts w:ascii="Tahoma" w:hAnsi="Tahoma" w:cs="Tahoma"/>
          <w:noProof/>
          <w:sz w:val="20"/>
        </w:rPr>
        <w:t>Av. XV de Novembro, N° 15  - Centro - Triunfo</w:t>
      </w:r>
      <w:r w:rsidR="00E20929" w:rsidRPr="00BC3DE6">
        <w:rPr>
          <w:rFonts w:ascii="Tahoma" w:hAnsi="Tahoma" w:cs="Tahoma"/>
          <w:noProof/>
          <w:sz w:val="20"/>
        </w:rPr>
        <w:fldChar w:fldCharType="end"/>
      </w:r>
      <w:r w:rsidRPr="00BC3DE6">
        <w:rPr>
          <w:rFonts w:ascii="Tahoma" w:hAnsi="Tahoma" w:cs="Tahoma"/>
          <w:sz w:val="20"/>
        </w:rPr>
        <w:t xml:space="preserve">, </w:t>
      </w:r>
      <w:r w:rsidR="00E20929" w:rsidRPr="00BC3DE6">
        <w:rPr>
          <w:rFonts w:ascii="Tahoma" w:hAnsi="Tahoma" w:cs="Tahoma"/>
          <w:noProof/>
          <w:sz w:val="20"/>
        </w:rPr>
        <w:fldChar w:fldCharType="begin"/>
      </w:r>
      <w:r w:rsidR="00E20929" w:rsidRPr="00BC3DE6">
        <w:rPr>
          <w:rFonts w:ascii="Tahoma" w:hAnsi="Tahoma" w:cs="Tahoma"/>
          <w:noProof/>
          <w:sz w:val="20"/>
        </w:rPr>
        <w:instrText xml:space="preserve"> MERGEFIELD CEP </w:instrText>
      </w:r>
      <w:r w:rsidR="00E20929" w:rsidRPr="00BC3DE6">
        <w:rPr>
          <w:rFonts w:ascii="Tahoma" w:hAnsi="Tahoma" w:cs="Tahoma"/>
          <w:noProof/>
          <w:sz w:val="20"/>
        </w:rPr>
        <w:fldChar w:fldCharType="separate"/>
      </w:r>
      <w:r w:rsidR="00A14265" w:rsidRPr="00BC514D">
        <w:rPr>
          <w:rFonts w:ascii="Tahoma" w:hAnsi="Tahoma" w:cs="Tahoma"/>
          <w:noProof/>
          <w:sz w:val="20"/>
        </w:rPr>
        <w:t>CEP 95840-000</w:t>
      </w:r>
      <w:r w:rsidR="00E20929" w:rsidRPr="00BC3DE6">
        <w:rPr>
          <w:rFonts w:ascii="Tahoma" w:hAnsi="Tahoma" w:cs="Tahoma"/>
          <w:noProof/>
          <w:sz w:val="20"/>
        </w:rPr>
        <w:fldChar w:fldCharType="end"/>
      </w:r>
      <w:r w:rsidRPr="00BC3DE6">
        <w:rPr>
          <w:rFonts w:ascii="Tahoma" w:hAnsi="Tahoma" w:cs="Tahoma"/>
          <w:sz w:val="20"/>
        </w:rPr>
        <w:t xml:space="preserve">, inscrita no CNPJ sob o nº </w:t>
      </w:r>
      <w:r w:rsidR="00E20929" w:rsidRPr="00BC3DE6">
        <w:rPr>
          <w:rFonts w:ascii="Tahoma" w:hAnsi="Tahoma" w:cs="Tahoma"/>
          <w:noProof/>
          <w:sz w:val="20"/>
        </w:rPr>
        <w:fldChar w:fldCharType="begin"/>
      </w:r>
      <w:r w:rsidR="00E20929" w:rsidRPr="00BC3DE6">
        <w:rPr>
          <w:rFonts w:ascii="Tahoma" w:hAnsi="Tahoma" w:cs="Tahoma"/>
          <w:noProof/>
          <w:sz w:val="20"/>
        </w:rPr>
        <w:instrText xml:space="preserve"> MERGEFIELD CNPJ </w:instrText>
      </w:r>
      <w:r w:rsidR="00E20929" w:rsidRPr="00BC3DE6">
        <w:rPr>
          <w:rFonts w:ascii="Tahoma" w:hAnsi="Tahoma" w:cs="Tahoma"/>
          <w:noProof/>
          <w:sz w:val="20"/>
        </w:rPr>
        <w:fldChar w:fldCharType="separate"/>
      </w:r>
      <w:r w:rsidR="00A14265" w:rsidRPr="00BC514D">
        <w:rPr>
          <w:rFonts w:ascii="Tahoma" w:hAnsi="Tahoma" w:cs="Tahoma"/>
          <w:noProof/>
          <w:sz w:val="20"/>
        </w:rPr>
        <w:t>13.746.560/0001-31</w:t>
      </w:r>
      <w:r w:rsidR="00E20929" w:rsidRPr="00BC3DE6">
        <w:rPr>
          <w:rFonts w:ascii="Tahoma" w:hAnsi="Tahoma" w:cs="Tahoma"/>
          <w:noProof/>
          <w:sz w:val="20"/>
        </w:rPr>
        <w:fldChar w:fldCharType="end"/>
      </w:r>
      <w:r w:rsidRPr="00BC3DE6">
        <w:rPr>
          <w:rFonts w:ascii="Tahoma" w:hAnsi="Tahoma" w:cs="Tahoma"/>
          <w:sz w:val="20"/>
        </w:rPr>
        <w:t xml:space="preserve">, doravante abreviadamente designada, </w:t>
      </w:r>
      <w:r w:rsidR="00FF57B2" w:rsidRPr="00BC3DE6">
        <w:rPr>
          <w:rFonts w:ascii="Tahoma" w:hAnsi="Tahoma" w:cs="Tahoma"/>
          <w:b/>
          <w:bCs/>
          <w:sz w:val="20"/>
        </w:rPr>
        <w:fldChar w:fldCharType="begin"/>
      </w:r>
      <w:r w:rsidR="00FF57B2" w:rsidRPr="00BC3DE6">
        <w:rPr>
          <w:rFonts w:ascii="Tahoma" w:hAnsi="Tahoma" w:cs="Tahoma"/>
          <w:b/>
          <w:bCs/>
          <w:sz w:val="20"/>
        </w:rPr>
        <w:instrText xml:space="preserve"> MERGEFIELD TP </w:instrText>
      </w:r>
      <w:r w:rsidR="00FF57B2" w:rsidRPr="00BC3DE6">
        <w:rPr>
          <w:rFonts w:ascii="Tahoma" w:hAnsi="Tahoma" w:cs="Tahoma"/>
          <w:b/>
          <w:bCs/>
          <w:sz w:val="20"/>
        </w:rPr>
        <w:fldChar w:fldCharType="separate"/>
      </w:r>
      <w:r w:rsidR="00A14265" w:rsidRPr="00BC514D">
        <w:rPr>
          <w:rFonts w:ascii="Tahoma" w:hAnsi="Tahoma" w:cs="Tahoma"/>
          <w:b/>
          <w:bCs/>
          <w:noProof/>
          <w:sz w:val="20"/>
        </w:rPr>
        <w:t>FAPETRI</w:t>
      </w:r>
      <w:r w:rsidR="00FF57B2" w:rsidRPr="00BC3DE6">
        <w:rPr>
          <w:rFonts w:ascii="Tahoma" w:hAnsi="Tahoma" w:cs="Tahoma"/>
          <w:b/>
          <w:bCs/>
          <w:sz w:val="20"/>
        </w:rPr>
        <w:fldChar w:fldCharType="end"/>
      </w:r>
      <w:r w:rsidRPr="00BC3DE6">
        <w:rPr>
          <w:rFonts w:ascii="Tahoma" w:hAnsi="Tahoma" w:cs="Tahoma"/>
          <w:sz w:val="20"/>
        </w:rPr>
        <w:t xml:space="preserve">, tendo como Representante Legal do Ente o </w:t>
      </w:r>
      <w:r w:rsidR="00616F1F" w:rsidRPr="00BC3DE6">
        <w:rPr>
          <w:rFonts w:ascii="Tahoma" w:hAnsi="Tahoma" w:cs="Tahoma"/>
          <w:noProof/>
          <w:sz w:val="20"/>
        </w:rPr>
        <w:fldChar w:fldCharType="begin"/>
      </w:r>
      <w:r w:rsidR="00616F1F" w:rsidRPr="00BC3DE6">
        <w:rPr>
          <w:rFonts w:ascii="Tahoma" w:hAnsi="Tahoma" w:cs="Tahoma"/>
          <w:noProof/>
          <w:sz w:val="20"/>
        </w:rPr>
        <w:instrText xml:space="preserve"> MERGEFIELD HM_1 </w:instrText>
      </w:r>
      <w:r w:rsidR="00616F1F" w:rsidRPr="00BC3DE6">
        <w:rPr>
          <w:rFonts w:ascii="Tahoma" w:hAnsi="Tahoma" w:cs="Tahoma"/>
          <w:noProof/>
          <w:sz w:val="20"/>
        </w:rPr>
        <w:fldChar w:fldCharType="separate"/>
      </w:r>
      <w:r w:rsidR="00A14265" w:rsidRPr="00BC514D">
        <w:rPr>
          <w:rFonts w:ascii="Tahoma" w:hAnsi="Tahoma" w:cs="Tahoma"/>
          <w:noProof/>
          <w:sz w:val="20"/>
        </w:rPr>
        <w:t>Sr.</w:t>
      </w:r>
      <w:r w:rsidR="00616F1F" w:rsidRPr="00BC3DE6">
        <w:rPr>
          <w:rFonts w:ascii="Tahoma" w:hAnsi="Tahoma" w:cs="Tahoma"/>
          <w:noProof/>
          <w:sz w:val="20"/>
        </w:rPr>
        <w:fldChar w:fldCharType="end"/>
      </w:r>
      <w:r w:rsidRPr="00BC3DE6">
        <w:rPr>
          <w:rFonts w:ascii="Tahoma" w:hAnsi="Tahoma" w:cs="Tahoma"/>
          <w:sz w:val="20"/>
        </w:rPr>
        <w:t xml:space="preserve"> </w:t>
      </w:r>
      <w:r w:rsidR="00E20929" w:rsidRPr="00BC3DE6">
        <w:rPr>
          <w:rFonts w:ascii="Tahoma" w:hAnsi="Tahoma" w:cs="Tahoma"/>
          <w:b/>
          <w:noProof/>
          <w:sz w:val="20"/>
        </w:rPr>
        <w:fldChar w:fldCharType="begin"/>
      </w:r>
      <w:r w:rsidR="00E20929" w:rsidRPr="00BC3DE6">
        <w:rPr>
          <w:rFonts w:ascii="Tahoma" w:hAnsi="Tahoma" w:cs="Tahoma"/>
          <w:b/>
          <w:noProof/>
          <w:sz w:val="20"/>
        </w:rPr>
        <w:instrText xml:space="preserve"> MERGEFIELD PREFEITO </w:instrText>
      </w:r>
      <w:r w:rsidR="00E20929" w:rsidRPr="00BC3DE6">
        <w:rPr>
          <w:rFonts w:ascii="Tahoma" w:hAnsi="Tahoma" w:cs="Tahoma"/>
          <w:b/>
          <w:noProof/>
          <w:sz w:val="20"/>
        </w:rPr>
        <w:fldChar w:fldCharType="separate"/>
      </w:r>
      <w:r w:rsidR="00A14265" w:rsidRPr="00BC514D">
        <w:rPr>
          <w:rFonts w:ascii="Tahoma" w:hAnsi="Tahoma" w:cs="Tahoma"/>
          <w:b/>
          <w:noProof/>
          <w:sz w:val="20"/>
        </w:rPr>
        <w:t>MURILO MACHADO DA SILVA</w:t>
      </w:r>
      <w:r w:rsidR="00E20929" w:rsidRPr="00BC3DE6">
        <w:rPr>
          <w:rFonts w:ascii="Tahoma" w:hAnsi="Tahoma" w:cs="Tahoma"/>
          <w:b/>
          <w:noProof/>
          <w:sz w:val="20"/>
        </w:rPr>
        <w:fldChar w:fldCharType="end"/>
      </w:r>
      <w:r w:rsidRPr="00BC3DE6">
        <w:rPr>
          <w:rFonts w:ascii="Tahoma" w:hAnsi="Tahoma" w:cs="Tahoma"/>
          <w:sz w:val="20"/>
        </w:rPr>
        <w:t xml:space="preserve"> e o Representante Legal da Unidade Gestora o </w:t>
      </w:r>
      <w:r w:rsidR="00616F1F" w:rsidRPr="00BC3DE6">
        <w:rPr>
          <w:rFonts w:ascii="Tahoma" w:hAnsi="Tahoma" w:cs="Tahoma"/>
          <w:noProof/>
          <w:sz w:val="20"/>
        </w:rPr>
        <w:fldChar w:fldCharType="begin"/>
      </w:r>
      <w:r w:rsidR="00616F1F" w:rsidRPr="00BC3DE6">
        <w:rPr>
          <w:rFonts w:ascii="Tahoma" w:hAnsi="Tahoma" w:cs="Tahoma"/>
          <w:noProof/>
          <w:sz w:val="20"/>
        </w:rPr>
        <w:instrText xml:space="preserve"> MERGEFIELD HM_2 </w:instrText>
      </w:r>
      <w:r w:rsidR="00616F1F" w:rsidRPr="00BC3DE6">
        <w:rPr>
          <w:rFonts w:ascii="Tahoma" w:hAnsi="Tahoma" w:cs="Tahoma"/>
          <w:noProof/>
          <w:sz w:val="20"/>
        </w:rPr>
        <w:fldChar w:fldCharType="separate"/>
      </w:r>
      <w:r w:rsidR="00A14265" w:rsidRPr="00BC514D">
        <w:rPr>
          <w:rFonts w:ascii="Tahoma" w:hAnsi="Tahoma" w:cs="Tahoma"/>
          <w:noProof/>
          <w:sz w:val="20"/>
        </w:rPr>
        <w:t>Sra.</w:t>
      </w:r>
      <w:r w:rsidR="00616F1F" w:rsidRPr="00BC3DE6">
        <w:rPr>
          <w:rFonts w:ascii="Tahoma" w:hAnsi="Tahoma" w:cs="Tahoma"/>
          <w:noProof/>
          <w:sz w:val="20"/>
        </w:rPr>
        <w:fldChar w:fldCharType="end"/>
      </w:r>
      <w:r w:rsidRPr="00BC3DE6">
        <w:rPr>
          <w:rFonts w:ascii="Tahoma" w:hAnsi="Tahoma" w:cs="Tahoma"/>
          <w:sz w:val="20"/>
        </w:rPr>
        <w:t xml:space="preserve"> </w:t>
      </w:r>
      <w:r w:rsidR="00616F1F" w:rsidRPr="00BC3DE6">
        <w:rPr>
          <w:rFonts w:ascii="Tahoma" w:hAnsi="Tahoma" w:cs="Tahoma"/>
          <w:b/>
          <w:noProof/>
          <w:sz w:val="20"/>
        </w:rPr>
        <w:fldChar w:fldCharType="begin"/>
      </w:r>
      <w:r w:rsidR="00616F1F" w:rsidRPr="00BC3DE6">
        <w:rPr>
          <w:rFonts w:ascii="Tahoma" w:hAnsi="Tahoma" w:cs="Tahoma"/>
          <w:b/>
          <w:noProof/>
          <w:sz w:val="20"/>
        </w:rPr>
        <w:instrText xml:space="preserve"> MERGEFIELD PRESIDENTE </w:instrText>
      </w:r>
      <w:r w:rsidR="00616F1F" w:rsidRPr="00BC3DE6">
        <w:rPr>
          <w:rFonts w:ascii="Tahoma" w:hAnsi="Tahoma" w:cs="Tahoma"/>
          <w:b/>
          <w:noProof/>
          <w:sz w:val="20"/>
        </w:rPr>
        <w:fldChar w:fldCharType="separate"/>
      </w:r>
      <w:r w:rsidR="00A14265" w:rsidRPr="00BC514D">
        <w:rPr>
          <w:rFonts w:ascii="Tahoma" w:hAnsi="Tahoma" w:cs="Tahoma"/>
          <w:b/>
          <w:noProof/>
          <w:sz w:val="20"/>
        </w:rPr>
        <w:t>VANESSA DIAS RAYTHZ</w:t>
      </w:r>
      <w:r w:rsidR="00616F1F" w:rsidRPr="00BC3DE6">
        <w:rPr>
          <w:rFonts w:ascii="Tahoma" w:hAnsi="Tahoma" w:cs="Tahoma"/>
          <w:b/>
          <w:noProof/>
          <w:sz w:val="20"/>
        </w:rPr>
        <w:fldChar w:fldCharType="end"/>
      </w:r>
      <w:r w:rsidRPr="00BC3DE6">
        <w:rPr>
          <w:rFonts w:ascii="Tahoma" w:hAnsi="Tahoma" w:cs="Tahoma"/>
          <w:sz w:val="20"/>
        </w:rPr>
        <w:t>.</w:t>
      </w:r>
    </w:p>
    <w:p w14:paraId="65E7BA1F" w14:textId="77777777" w:rsidR="00465C63" w:rsidRPr="00BC3DE6" w:rsidRDefault="00465C63" w:rsidP="000F7FA7">
      <w:pPr>
        <w:spacing w:after="120"/>
        <w:ind w:firstLine="709"/>
        <w:jc w:val="both"/>
        <w:rPr>
          <w:sz w:val="20"/>
        </w:rPr>
      </w:pPr>
    </w:p>
    <w:p w14:paraId="05DC2689" w14:textId="77777777" w:rsidR="00465C63" w:rsidRPr="00BC3DE6" w:rsidRDefault="00465C63" w:rsidP="00EC5FD6">
      <w:pPr>
        <w:pStyle w:val="Subttulo"/>
        <w:rPr>
          <w:sz w:val="20"/>
          <w:szCs w:val="20"/>
        </w:rPr>
      </w:pPr>
      <w:bookmarkStart w:id="3" w:name="_Toc181542555"/>
      <w:r w:rsidRPr="00BC3DE6">
        <w:rPr>
          <w:sz w:val="20"/>
          <w:szCs w:val="20"/>
        </w:rPr>
        <w:t>Da Organização do Documento</w:t>
      </w:r>
      <w:bookmarkEnd w:id="3"/>
    </w:p>
    <w:p w14:paraId="69BEFF21" w14:textId="77545029" w:rsidR="00AD12FB" w:rsidRDefault="00465C63" w:rsidP="000F7FA7">
      <w:pPr>
        <w:spacing w:after="120"/>
        <w:ind w:firstLine="709"/>
        <w:jc w:val="both"/>
        <w:rPr>
          <w:rFonts w:ascii="Tahoma" w:hAnsi="Tahoma" w:cs="Tahoma"/>
          <w:sz w:val="20"/>
        </w:rPr>
      </w:pPr>
      <w:r w:rsidRPr="00BC3DE6">
        <w:rPr>
          <w:rFonts w:ascii="Tahoma" w:hAnsi="Tahoma" w:cs="Tahoma"/>
          <w:sz w:val="20"/>
        </w:rPr>
        <w:t xml:space="preserve">Esta INTRODUÇÃO de apresentação da </w:t>
      </w:r>
      <w:r w:rsidR="007A0B11" w:rsidRPr="00BC3DE6">
        <w:rPr>
          <w:rFonts w:ascii="Tahoma" w:hAnsi="Tahoma" w:cs="Tahoma"/>
          <w:sz w:val="20"/>
        </w:rPr>
        <w:t>Política de Investimentos</w:t>
      </w:r>
      <w:r w:rsidRPr="00BC3DE6">
        <w:rPr>
          <w:rFonts w:ascii="Tahoma" w:hAnsi="Tahoma" w:cs="Tahoma"/>
          <w:sz w:val="20"/>
        </w:rPr>
        <w:t xml:space="preserve"> do </w:t>
      </w:r>
      <w:r w:rsidR="00616F1F" w:rsidRPr="00BC3DE6">
        <w:rPr>
          <w:rFonts w:ascii="Tahoma" w:hAnsi="Tahoma" w:cs="Tahoma"/>
          <w:b/>
          <w:noProof/>
          <w:sz w:val="20"/>
        </w:rPr>
        <w:fldChar w:fldCharType="begin"/>
      </w:r>
      <w:r w:rsidR="00616F1F" w:rsidRPr="00BC3DE6">
        <w:rPr>
          <w:rFonts w:ascii="Tahoma" w:hAnsi="Tahoma" w:cs="Tahoma"/>
          <w:b/>
          <w:noProof/>
          <w:sz w:val="20"/>
        </w:rPr>
        <w:instrText xml:space="preserve"> MERGEFIELD NOME_DO_FUNDO </w:instrText>
      </w:r>
      <w:r w:rsidR="00616F1F" w:rsidRPr="00BC3DE6">
        <w:rPr>
          <w:rFonts w:ascii="Tahoma" w:hAnsi="Tahoma" w:cs="Tahoma"/>
          <w:b/>
          <w:noProof/>
          <w:sz w:val="20"/>
        </w:rPr>
        <w:fldChar w:fldCharType="separate"/>
      </w:r>
      <w:r w:rsidR="00A14265" w:rsidRPr="00BC514D">
        <w:rPr>
          <w:rFonts w:ascii="Tahoma" w:hAnsi="Tahoma" w:cs="Tahoma"/>
          <w:b/>
          <w:noProof/>
          <w:sz w:val="20"/>
        </w:rPr>
        <w:t>FUNDO DE ASSISTÊNCIA E PREVIDÊNCIA DOS SERVIDORES ESTATUTÁRIOS DO MUNICÍPIO DE TRIUNFO – FAPETRI</w:t>
      </w:r>
      <w:r w:rsidR="00616F1F" w:rsidRPr="00BC3DE6">
        <w:rPr>
          <w:rFonts w:ascii="Tahoma" w:hAnsi="Tahoma" w:cs="Tahoma"/>
          <w:b/>
          <w:noProof/>
          <w:sz w:val="20"/>
        </w:rPr>
        <w:fldChar w:fldCharType="end"/>
      </w:r>
      <w:r w:rsidRPr="00BC3DE6">
        <w:rPr>
          <w:rFonts w:ascii="Tahoma" w:hAnsi="Tahoma" w:cs="Tahoma"/>
          <w:sz w:val="20"/>
        </w:rPr>
        <w:t xml:space="preserve"> </w:t>
      </w:r>
      <w:r w:rsidR="005731B7" w:rsidRPr="00BC3DE6">
        <w:rPr>
          <w:rFonts w:ascii="Tahoma" w:hAnsi="Tahoma" w:cs="Tahoma"/>
          <w:sz w:val="20"/>
        </w:rPr>
        <w:t>contempla a</w:t>
      </w:r>
      <w:r w:rsidRPr="00BC3DE6">
        <w:rPr>
          <w:rFonts w:ascii="Tahoma" w:hAnsi="Tahoma" w:cs="Tahoma"/>
          <w:sz w:val="20"/>
        </w:rPr>
        <w:t xml:space="preserve"> VIGÊNCIA E OBJETIVOS DA </w:t>
      </w:r>
      <w:r w:rsidR="007A0B11" w:rsidRPr="00BC3DE6">
        <w:rPr>
          <w:rFonts w:ascii="Tahoma" w:hAnsi="Tahoma" w:cs="Tahoma"/>
          <w:sz w:val="20"/>
        </w:rPr>
        <w:t>POLÍTICA DE INVESTIMENTOS</w:t>
      </w:r>
      <w:r w:rsidRPr="00BC3DE6">
        <w:rPr>
          <w:rFonts w:ascii="Tahoma" w:hAnsi="Tahoma" w:cs="Tahoma"/>
          <w:sz w:val="20"/>
        </w:rPr>
        <w:t xml:space="preserve">, destacando a abrangência temporal dos efeitos originados por este documento e o propósito de curto e longo prazo do </w:t>
      </w:r>
      <w:r w:rsidR="00F93F8D" w:rsidRPr="00BC3DE6">
        <w:rPr>
          <w:rFonts w:ascii="Tahoma" w:hAnsi="Tahoma" w:cs="Tahoma"/>
          <w:b/>
          <w:noProof/>
          <w:sz w:val="20"/>
        </w:rPr>
        <w:fldChar w:fldCharType="begin"/>
      </w:r>
      <w:r w:rsidR="00F93F8D" w:rsidRPr="00BC3DE6">
        <w:rPr>
          <w:rFonts w:ascii="Tahoma" w:hAnsi="Tahoma" w:cs="Tahoma"/>
          <w:b/>
          <w:noProof/>
          <w:sz w:val="20"/>
        </w:rPr>
        <w:instrText xml:space="preserve"> MERGEFIELD TP </w:instrText>
      </w:r>
      <w:r w:rsidR="00F93F8D" w:rsidRPr="00BC3DE6">
        <w:rPr>
          <w:rFonts w:ascii="Tahoma" w:hAnsi="Tahoma" w:cs="Tahoma"/>
          <w:b/>
          <w:noProof/>
          <w:sz w:val="20"/>
        </w:rPr>
        <w:fldChar w:fldCharType="separate"/>
      </w:r>
      <w:r w:rsidR="00A14265" w:rsidRPr="00BC514D">
        <w:rPr>
          <w:rFonts w:ascii="Tahoma" w:hAnsi="Tahoma" w:cs="Tahoma"/>
          <w:b/>
          <w:noProof/>
          <w:sz w:val="20"/>
        </w:rPr>
        <w:t>FAPETRI</w:t>
      </w:r>
      <w:r w:rsidR="00F93F8D" w:rsidRPr="00BC3DE6">
        <w:rPr>
          <w:rFonts w:ascii="Tahoma" w:hAnsi="Tahoma" w:cs="Tahoma"/>
          <w:b/>
          <w:noProof/>
          <w:sz w:val="20"/>
        </w:rPr>
        <w:fldChar w:fldCharType="end"/>
      </w:r>
      <w:r w:rsidR="00133032" w:rsidRPr="00BC3DE6">
        <w:rPr>
          <w:rFonts w:ascii="Tahoma" w:hAnsi="Tahoma" w:cs="Tahoma"/>
          <w:sz w:val="20"/>
        </w:rPr>
        <w:t>; o</w:t>
      </w:r>
      <w:r w:rsidRPr="00BC3DE6">
        <w:rPr>
          <w:rFonts w:ascii="Tahoma" w:hAnsi="Tahoma" w:cs="Tahoma"/>
          <w:sz w:val="20"/>
        </w:rPr>
        <w:t xml:space="preserve"> MODELO DE GESTÃO E SERVIÇOS ESPECIALIZADOS, para prever o modo de gerir os recursos e o suporte especializado necessário</w:t>
      </w:r>
      <w:r w:rsidR="00133032" w:rsidRPr="00BC3DE6">
        <w:rPr>
          <w:rFonts w:ascii="Tahoma" w:hAnsi="Tahoma" w:cs="Tahoma"/>
          <w:sz w:val="20"/>
        </w:rPr>
        <w:t>;</w:t>
      </w:r>
      <w:r w:rsidRPr="00BC3DE6">
        <w:rPr>
          <w:rFonts w:ascii="Tahoma" w:hAnsi="Tahoma" w:cs="Tahoma"/>
          <w:sz w:val="20"/>
        </w:rPr>
        <w:t xml:space="preserve"> </w:t>
      </w:r>
      <w:r w:rsidR="00133032" w:rsidRPr="00BC3DE6">
        <w:rPr>
          <w:rFonts w:ascii="Tahoma" w:hAnsi="Tahoma" w:cs="Tahoma"/>
          <w:sz w:val="20"/>
        </w:rPr>
        <w:t>o</w:t>
      </w:r>
      <w:r w:rsidRPr="00BC3DE6">
        <w:rPr>
          <w:rFonts w:ascii="Tahoma" w:hAnsi="Tahoma" w:cs="Tahoma"/>
          <w:sz w:val="20"/>
        </w:rPr>
        <w:t xml:space="preserve">s ASPECTOS LEGAIS DA RESOLUÇÃO CMN </w:t>
      </w:r>
      <w:r w:rsidR="00D57CDD" w:rsidRPr="00BC3DE6">
        <w:rPr>
          <w:rFonts w:ascii="Tahoma" w:hAnsi="Tahoma" w:cs="Tahoma"/>
          <w:sz w:val="20"/>
        </w:rPr>
        <w:t>4.963/2021</w:t>
      </w:r>
      <w:r w:rsidRPr="00BC3DE6">
        <w:rPr>
          <w:rFonts w:ascii="Tahoma" w:hAnsi="Tahoma" w:cs="Tahoma"/>
          <w:sz w:val="20"/>
        </w:rPr>
        <w:t xml:space="preserve">, a partir da síntese dos seus </w:t>
      </w:r>
      <w:r w:rsidR="007A0B11" w:rsidRPr="00BC3DE6">
        <w:rPr>
          <w:rFonts w:ascii="Tahoma" w:hAnsi="Tahoma" w:cs="Tahoma"/>
          <w:sz w:val="20"/>
        </w:rPr>
        <w:t>principais</w:t>
      </w:r>
      <w:r w:rsidRPr="00BC3DE6">
        <w:rPr>
          <w:rFonts w:ascii="Tahoma" w:hAnsi="Tahoma" w:cs="Tahoma"/>
          <w:sz w:val="20"/>
        </w:rPr>
        <w:t xml:space="preserve"> aspectos correspondentes</w:t>
      </w:r>
      <w:r w:rsidR="00133032" w:rsidRPr="00BC3DE6">
        <w:rPr>
          <w:rFonts w:ascii="Tahoma" w:hAnsi="Tahoma" w:cs="Tahoma"/>
          <w:sz w:val="20"/>
        </w:rPr>
        <w:t>; a</w:t>
      </w:r>
      <w:r w:rsidRPr="00BC3DE6">
        <w:rPr>
          <w:rFonts w:ascii="Tahoma" w:hAnsi="Tahoma" w:cs="Tahoma"/>
          <w:sz w:val="20"/>
        </w:rPr>
        <w:t xml:space="preserve"> CONJUNTURA ECONÔMICA E ANÁLISE DE MERCADO, para oferecer dados e informações a respeito do contexto econômico de investimentos, bem como as EXPECTATIVAS DO MERCADO FINANCEIRO </w:t>
      </w:r>
      <w:r w:rsidRPr="007930C5">
        <w:rPr>
          <w:rFonts w:ascii="Tahoma" w:hAnsi="Tahoma" w:cs="Tahoma"/>
          <w:sz w:val="20"/>
        </w:rPr>
        <w:t>PARA 202</w:t>
      </w:r>
      <w:r w:rsidR="00E16EDA" w:rsidRPr="007930C5">
        <w:rPr>
          <w:rFonts w:ascii="Tahoma" w:hAnsi="Tahoma" w:cs="Tahoma"/>
          <w:sz w:val="20"/>
        </w:rPr>
        <w:t>4</w:t>
      </w:r>
      <w:r w:rsidRPr="007930C5">
        <w:rPr>
          <w:rFonts w:ascii="Tahoma" w:hAnsi="Tahoma" w:cs="Tahoma"/>
          <w:sz w:val="20"/>
        </w:rPr>
        <w:t>/202</w:t>
      </w:r>
      <w:r w:rsidR="00E16EDA" w:rsidRPr="007930C5">
        <w:rPr>
          <w:rFonts w:ascii="Tahoma" w:hAnsi="Tahoma" w:cs="Tahoma"/>
          <w:sz w:val="20"/>
        </w:rPr>
        <w:t>5</w:t>
      </w:r>
      <w:r w:rsidRPr="007930C5">
        <w:rPr>
          <w:rFonts w:ascii="Tahoma" w:hAnsi="Tahoma" w:cs="Tahoma"/>
          <w:sz w:val="20"/>
        </w:rPr>
        <w:t>,</w:t>
      </w:r>
      <w:r w:rsidRPr="00BC3DE6">
        <w:rPr>
          <w:rFonts w:ascii="Tahoma" w:hAnsi="Tahoma" w:cs="Tahoma"/>
          <w:sz w:val="20"/>
        </w:rPr>
        <w:t xml:space="preserve"> </w:t>
      </w:r>
      <w:r w:rsidR="00133032" w:rsidRPr="00BC3DE6">
        <w:rPr>
          <w:rFonts w:ascii="Tahoma" w:hAnsi="Tahoma" w:cs="Tahoma"/>
          <w:sz w:val="20"/>
        </w:rPr>
        <w:t>as</w:t>
      </w:r>
      <w:r w:rsidRPr="00BC3DE6">
        <w:rPr>
          <w:rFonts w:ascii="Tahoma" w:hAnsi="Tahoma" w:cs="Tahoma"/>
          <w:sz w:val="20"/>
        </w:rPr>
        <w:t xml:space="preserve"> CONSIDERAÇÕES GERAIS DO CENÁRIO </w:t>
      </w:r>
      <w:r w:rsidRPr="007930C5">
        <w:rPr>
          <w:rFonts w:ascii="Tahoma" w:hAnsi="Tahoma" w:cs="Tahoma"/>
          <w:sz w:val="20"/>
        </w:rPr>
        <w:t>DE 202</w:t>
      </w:r>
      <w:r w:rsidR="00E16EDA" w:rsidRPr="007930C5">
        <w:rPr>
          <w:rFonts w:ascii="Tahoma" w:hAnsi="Tahoma" w:cs="Tahoma"/>
          <w:sz w:val="20"/>
        </w:rPr>
        <w:t>4</w:t>
      </w:r>
      <w:r w:rsidRPr="007930C5">
        <w:rPr>
          <w:rFonts w:ascii="Tahoma" w:hAnsi="Tahoma" w:cs="Tahoma"/>
          <w:sz w:val="20"/>
        </w:rPr>
        <w:t>/202</w:t>
      </w:r>
      <w:r w:rsidR="00E16EDA" w:rsidRPr="007930C5">
        <w:rPr>
          <w:rFonts w:ascii="Tahoma" w:hAnsi="Tahoma" w:cs="Tahoma"/>
          <w:sz w:val="20"/>
        </w:rPr>
        <w:t>5</w:t>
      </w:r>
      <w:r w:rsidR="00D57CDD" w:rsidRPr="00BC3DE6">
        <w:rPr>
          <w:rFonts w:ascii="Tahoma" w:hAnsi="Tahoma" w:cs="Tahoma"/>
          <w:sz w:val="20"/>
        </w:rPr>
        <w:t xml:space="preserve"> e</w:t>
      </w:r>
      <w:r w:rsidR="00133032" w:rsidRPr="00BC3DE6">
        <w:rPr>
          <w:rFonts w:ascii="Tahoma" w:hAnsi="Tahoma" w:cs="Tahoma"/>
          <w:sz w:val="20"/>
        </w:rPr>
        <w:t xml:space="preserve"> o</w:t>
      </w:r>
      <w:r w:rsidRPr="00BC3DE6">
        <w:rPr>
          <w:rFonts w:ascii="Tahoma" w:hAnsi="Tahoma" w:cs="Tahoma"/>
          <w:sz w:val="20"/>
        </w:rPr>
        <w:t xml:space="preserve"> CONTROLE DE RISCO. Temos as DIRETRIZES PARA ALOCAÇÃO DOS RECURSOS, alinhando os elementos de gestão e as suas respectivas restrições</w:t>
      </w:r>
      <w:r w:rsidR="00133032" w:rsidRPr="00BC3DE6">
        <w:rPr>
          <w:rFonts w:ascii="Tahoma" w:hAnsi="Tahoma" w:cs="Tahoma"/>
          <w:sz w:val="20"/>
        </w:rPr>
        <w:t>; a</w:t>
      </w:r>
      <w:r w:rsidRPr="00BC3DE6">
        <w:rPr>
          <w:rFonts w:ascii="Tahoma" w:hAnsi="Tahoma" w:cs="Tahoma"/>
          <w:sz w:val="20"/>
        </w:rPr>
        <w:t xml:space="preserve"> ESTRATÉGIA PARA ALOCAÇÃO DE RECURSOS, onde traçamos os limites de alocações por segmento</w:t>
      </w:r>
      <w:r w:rsidR="00133032" w:rsidRPr="00BC3DE6">
        <w:rPr>
          <w:rFonts w:ascii="Tahoma" w:hAnsi="Tahoma" w:cs="Tahoma"/>
          <w:sz w:val="20"/>
        </w:rPr>
        <w:t>; a</w:t>
      </w:r>
      <w:r w:rsidRPr="00BC3DE6">
        <w:rPr>
          <w:rFonts w:ascii="Tahoma" w:hAnsi="Tahoma" w:cs="Tahoma"/>
          <w:sz w:val="20"/>
        </w:rPr>
        <w:t>s VEDAÇÕES e por fim, as DISPOSIÇÕES GERAIS.</w:t>
      </w:r>
      <w:r w:rsidRPr="00E8601E">
        <w:rPr>
          <w:rFonts w:ascii="Tahoma" w:hAnsi="Tahoma" w:cs="Tahoma"/>
          <w:sz w:val="20"/>
        </w:rPr>
        <w:t xml:space="preserve"> </w:t>
      </w:r>
    </w:p>
    <w:p w14:paraId="3609254B" w14:textId="77777777" w:rsidR="00AD12FB" w:rsidRDefault="00AD12FB">
      <w:pPr>
        <w:rPr>
          <w:rFonts w:ascii="Tahoma" w:hAnsi="Tahoma" w:cs="Tahoma"/>
          <w:sz w:val="20"/>
        </w:rPr>
      </w:pPr>
      <w:r>
        <w:rPr>
          <w:rFonts w:ascii="Tahoma" w:hAnsi="Tahoma" w:cs="Tahoma"/>
          <w:sz w:val="20"/>
        </w:rPr>
        <w:br w:type="page"/>
      </w:r>
    </w:p>
    <w:bookmarkStart w:id="4" w:name="_Toc181542556"/>
    <w:p w14:paraId="7BD05674" w14:textId="1A4E0ADC" w:rsidR="00465C63" w:rsidRPr="00E8601E" w:rsidRDefault="00AD12FB" w:rsidP="000C021C">
      <w:pPr>
        <w:pStyle w:val="Ttulo1"/>
        <w:rPr>
          <w:sz w:val="20"/>
        </w:rPr>
      </w:pPr>
      <w:r w:rsidRPr="00E4782B">
        <w:object w:dxaOrig="2425" w:dyaOrig="2598" w14:anchorId="6D62F6C3">
          <v:shape id="_x0000_i1052" type="#_x0000_t75" style="width:9.75pt;height:9pt" o:ole="">
            <v:imagedata r:id="rId11" o:title=""/>
          </v:shape>
          <o:OLEObject Type="Embed" ProgID="CorelDRAW.Graphic.13" ShapeID="_x0000_i1052" DrawAspect="Content" ObjectID="_1793685925" r:id="rId40"/>
        </w:object>
      </w:r>
      <w:r w:rsidR="00465C63" w:rsidRPr="000C021C">
        <w:rPr>
          <w:rStyle w:val="Ttulo1Char"/>
          <w:b/>
          <w:bCs/>
          <w:sz w:val="21"/>
          <w:szCs w:val="21"/>
        </w:rPr>
        <w:t xml:space="preserve">VIGÊNCIA E OBJETIVOS DA </w:t>
      </w:r>
      <w:r w:rsidR="007A0B11" w:rsidRPr="000C021C">
        <w:rPr>
          <w:rStyle w:val="Ttulo1Char"/>
          <w:b/>
          <w:bCs/>
          <w:sz w:val="21"/>
          <w:szCs w:val="21"/>
        </w:rPr>
        <w:t>POLÍTICA DE INVESTIMENTOS</w:t>
      </w:r>
      <w:r w:rsidR="00465C63" w:rsidRPr="000C021C">
        <w:rPr>
          <w:rStyle w:val="Ttulo1Char"/>
          <w:b/>
          <w:bCs/>
          <w:sz w:val="21"/>
          <w:szCs w:val="21"/>
        </w:rPr>
        <w:t xml:space="preserve"> 202</w:t>
      </w:r>
      <w:r w:rsidR="00E16EDA" w:rsidRPr="000C021C">
        <w:rPr>
          <w:rStyle w:val="Ttulo1Char"/>
          <w:b/>
          <w:bCs/>
          <w:sz w:val="21"/>
          <w:szCs w:val="21"/>
        </w:rPr>
        <w:t>5</w:t>
      </w:r>
      <w:r w:rsidR="00465C63" w:rsidRPr="00E8601E">
        <w:t xml:space="preserve"> </w:t>
      </w:r>
      <w:bookmarkEnd w:id="4"/>
      <w:r w:rsidR="00465C63" w:rsidRPr="00E8601E">
        <w:rPr>
          <w:sz w:val="20"/>
        </w:rPr>
        <w:object w:dxaOrig="3163" w:dyaOrig="3187" w14:anchorId="2D9215DB">
          <v:shape id="_x0000_i1053" type="#_x0000_t75" style="width:21.75pt;height:23.25pt" o:ole="">
            <v:imagedata r:id="rId13" o:title=""/>
          </v:shape>
          <o:OLEObject Type="Embed" ProgID="CorelDRAW.Graphic.13" ShapeID="_x0000_i1053" DrawAspect="Content" ObjectID="_1793685926" r:id="rId41"/>
        </w:object>
      </w:r>
    </w:p>
    <w:p w14:paraId="27E67FF6" w14:textId="77777777" w:rsidR="00465C63" w:rsidRPr="00BC3DE6" w:rsidRDefault="00465C63" w:rsidP="00EC5FD6">
      <w:pPr>
        <w:pStyle w:val="Subttulo"/>
        <w:rPr>
          <w:sz w:val="20"/>
        </w:rPr>
      </w:pPr>
      <w:bookmarkStart w:id="5" w:name="_Toc181542557"/>
      <w:r w:rsidRPr="00BC3DE6">
        <w:rPr>
          <w:sz w:val="20"/>
        </w:rPr>
        <w:t>Da Vigência</w:t>
      </w:r>
      <w:bookmarkEnd w:id="5"/>
    </w:p>
    <w:p w14:paraId="50C7CA8C" w14:textId="1FC08B7F" w:rsidR="00465C63" w:rsidRPr="00BC3DE6" w:rsidRDefault="00465C63" w:rsidP="000F7FA7">
      <w:pPr>
        <w:spacing w:after="120"/>
        <w:ind w:firstLine="709"/>
        <w:jc w:val="both"/>
        <w:rPr>
          <w:rFonts w:ascii="Tahoma" w:hAnsi="Tahoma" w:cs="Tahoma"/>
          <w:sz w:val="20"/>
        </w:rPr>
      </w:pPr>
      <w:r w:rsidRPr="00BC3DE6">
        <w:rPr>
          <w:rFonts w:ascii="Tahoma" w:hAnsi="Tahoma" w:cs="Tahoma"/>
          <w:sz w:val="20"/>
        </w:rPr>
        <w:t xml:space="preserve">Esta </w:t>
      </w:r>
      <w:r w:rsidR="007A0B11" w:rsidRPr="00BC3DE6">
        <w:rPr>
          <w:rFonts w:ascii="Tahoma" w:hAnsi="Tahoma" w:cs="Tahoma"/>
          <w:sz w:val="20"/>
        </w:rPr>
        <w:t>Política de Investimentos</w:t>
      </w:r>
      <w:r w:rsidRPr="00BC3DE6">
        <w:rPr>
          <w:rFonts w:ascii="Tahoma" w:hAnsi="Tahoma" w:cs="Tahoma"/>
          <w:sz w:val="20"/>
        </w:rPr>
        <w:t xml:space="preserve"> será válida para todo o </w:t>
      </w:r>
      <w:r w:rsidRPr="00BC3DE6">
        <w:rPr>
          <w:rFonts w:ascii="Tahoma" w:hAnsi="Tahoma" w:cs="Tahoma"/>
          <w:b/>
          <w:sz w:val="20"/>
        </w:rPr>
        <w:t>EXERCÍCIO DE 202</w:t>
      </w:r>
      <w:r w:rsidR="00E16EDA" w:rsidRPr="00BC3DE6">
        <w:rPr>
          <w:rFonts w:ascii="Tahoma" w:hAnsi="Tahoma" w:cs="Tahoma"/>
          <w:b/>
          <w:sz w:val="20"/>
        </w:rPr>
        <w:t>5</w:t>
      </w:r>
      <w:r w:rsidRPr="00BC3DE6">
        <w:rPr>
          <w:rFonts w:ascii="Tahoma" w:hAnsi="Tahoma" w:cs="Tahoma"/>
          <w:sz w:val="20"/>
        </w:rPr>
        <w:t>. Durante este período</w:t>
      </w:r>
      <w:r w:rsidR="0095399B">
        <w:rPr>
          <w:rFonts w:ascii="Tahoma" w:hAnsi="Tahoma" w:cs="Tahoma"/>
          <w:sz w:val="20"/>
        </w:rPr>
        <w:t>,</w:t>
      </w:r>
      <w:r w:rsidRPr="00BC3DE6">
        <w:rPr>
          <w:rFonts w:ascii="Tahoma" w:hAnsi="Tahoma" w:cs="Tahoma"/>
          <w:sz w:val="20"/>
        </w:rPr>
        <w:t xml:space="preserve"> correções e alterações poderão ocorrer para adequar mudanças na legislação aplicável ou</w:t>
      </w:r>
      <w:r w:rsidR="00142E87" w:rsidRPr="00BC3DE6">
        <w:rPr>
          <w:rFonts w:ascii="Tahoma" w:hAnsi="Tahoma" w:cs="Tahoma"/>
          <w:sz w:val="20"/>
        </w:rPr>
        <w:t>,</w:t>
      </w:r>
      <w:r w:rsidRPr="00BC3DE6">
        <w:rPr>
          <w:rFonts w:ascii="Tahoma" w:hAnsi="Tahoma" w:cs="Tahoma"/>
          <w:sz w:val="20"/>
        </w:rPr>
        <w:t xml:space="preserve"> caso seja considerado necessário pelo </w:t>
      </w:r>
      <w:r w:rsidR="00616F1F" w:rsidRPr="00BC3DE6">
        <w:rPr>
          <w:rFonts w:ascii="Tahoma" w:hAnsi="Tahoma" w:cs="Tahoma"/>
          <w:b/>
          <w:noProof/>
          <w:sz w:val="20"/>
        </w:rPr>
        <w:fldChar w:fldCharType="begin"/>
      </w:r>
      <w:r w:rsidR="00616F1F" w:rsidRPr="00BC3DE6">
        <w:rPr>
          <w:rFonts w:ascii="Tahoma" w:hAnsi="Tahoma" w:cs="Tahoma"/>
          <w:b/>
          <w:noProof/>
          <w:sz w:val="20"/>
        </w:rPr>
        <w:instrText xml:space="preserve"> MERGEFIELD NOME_DO_FUNDO </w:instrText>
      </w:r>
      <w:r w:rsidR="00616F1F" w:rsidRPr="00BC3DE6">
        <w:rPr>
          <w:rFonts w:ascii="Tahoma" w:hAnsi="Tahoma" w:cs="Tahoma"/>
          <w:b/>
          <w:noProof/>
          <w:sz w:val="20"/>
        </w:rPr>
        <w:fldChar w:fldCharType="separate"/>
      </w:r>
      <w:r w:rsidR="00A14265" w:rsidRPr="00BC514D">
        <w:rPr>
          <w:rFonts w:ascii="Tahoma" w:hAnsi="Tahoma" w:cs="Tahoma"/>
          <w:b/>
          <w:noProof/>
          <w:sz w:val="20"/>
        </w:rPr>
        <w:t>FUNDO DE ASSISTÊNCIA E PREVIDÊNCIA DOS SERVIDORES ESTATUTÁRIOS DO MUNICÍPIO DE TRIUNFO – FAPETRI</w:t>
      </w:r>
      <w:r w:rsidR="00616F1F" w:rsidRPr="00BC3DE6">
        <w:rPr>
          <w:rFonts w:ascii="Tahoma" w:hAnsi="Tahoma" w:cs="Tahoma"/>
          <w:b/>
          <w:noProof/>
          <w:sz w:val="20"/>
        </w:rPr>
        <w:fldChar w:fldCharType="end"/>
      </w:r>
      <w:r w:rsidR="00142E87" w:rsidRPr="00BC3DE6">
        <w:rPr>
          <w:rFonts w:ascii="Tahoma" w:hAnsi="Tahoma" w:cs="Tahoma"/>
          <w:sz w:val="20"/>
        </w:rPr>
        <w:t xml:space="preserve">, </w:t>
      </w:r>
      <w:r w:rsidR="005731B7" w:rsidRPr="00BC3DE6">
        <w:rPr>
          <w:rFonts w:ascii="Tahoma" w:hAnsi="Tahoma" w:cs="Tahoma"/>
          <w:sz w:val="20"/>
        </w:rPr>
        <w:t>a</w:t>
      </w:r>
      <w:r w:rsidRPr="00BC3DE6">
        <w:rPr>
          <w:rFonts w:ascii="Tahoma" w:hAnsi="Tahoma" w:cs="Tahoma"/>
          <w:sz w:val="20"/>
        </w:rPr>
        <w:t xml:space="preserve">té 31 de </w:t>
      </w:r>
      <w:proofErr w:type="gramStart"/>
      <w:r w:rsidRPr="00BC3DE6">
        <w:rPr>
          <w:rFonts w:ascii="Tahoma" w:hAnsi="Tahoma" w:cs="Tahoma"/>
          <w:sz w:val="20"/>
        </w:rPr>
        <w:t>Dezembro</w:t>
      </w:r>
      <w:proofErr w:type="gramEnd"/>
      <w:r w:rsidRPr="00BC3DE6">
        <w:rPr>
          <w:rFonts w:ascii="Tahoma" w:hAnsi="Tahoma" w:cs="Tahoma"/>
          <w:sz w:val="20"/>
        </w:rPr>
        <w:t xml:space="preserve"> de cada exercício</w:t>
      </w:r>
      <w:r w:rsidR="00F918BC" w:rsidRPr="00BC3DE6">
        <w:rPr>
          <w:rFonts w:ascii="Tahoma" w:hAnsi="Tahoma" w:cs="Tahoma"/>
          <w:sz w:val="20"/>
        </w:rPr>
        <w:t>.</w:t>
      </w:r>
      <w:r w:rsidRPr="00BC3DE6">
        <w:rPr>
          <w:rFonts w:ascii="Tahoma" w:hAnsi="Tahoma" w:cs="Tahoma"/>
          <w:sz w:val="20"/>
        </w:rPr>
        <w:t xml:space="preserve"> </w:t>
      </w:r>
      <w:r w:rsidR="00F918BC" w:rsidRPr="00BC3DE6">
        <w:rPr>
          <w:rFonts w:ascii="Tahoma" w:hAnsi="Tahoma" w:cs="Tahoma"/>
          <w:sz w:val="20"/>
        </w:rPr>
        <w:t xml:space="preserve">Ressalta-se que, em nenhuma oportunidade será permitida a existência de duas </w:t>
      </w:r>
      <w:r w:rsidR="00142E87" w:rsidRPr="00BC3DE6">
        <w:rPr>
          <w:rFonts w:ascii="Tahoma" w:hAnsi="Tahoma" w:cs="Tahoma"/>
          <w:sz w:val="20"/>
        </w:rPr>
        <w:t>P</w:t>
      </w:r>
      <w:r w:rsidR="00F918BC" w:rsidRPr="00BC3DE6">
        <w:rPr>
          <w:rFonts w:ascii="Tahoma" w:hAnsi="Tahoma" w:cs="Tahoma"/>
          <w:sz w:val="20"/>
        </w:rPr>
        <w:t xml:space="preserve">olíticas de </w:t>
      </w:r>
      <w:r w:rsidR="00142E87" w:rsidRPr="00BC3DE6">
        <w:rPr>
          <w:rFonts w:ascii="Tahoma" w:hAnsi="Tahoma" w:cs="Tahoma"/>
          <w:sz w:val="20"/>
        </w:rPr>
        <w:t>I</w:t>
      </w:r>
      <w:r w:rsidR="00F918BC" w:rsidRPr="00BC3DE6">
        <w:rPr>
          <w:rFonts w:ascii="Tahoma" w:hAnsi="Tahoma" w:cs="Tahoma"/>
          <w:sz w:val="20"/>
        </w:rPr>
        <w:t>nvestimentos abrangendo o mesmo exercício</w:t>
      </w:r>
      <w:r w:rsidRPr="00BC3DE6">
        <w:rPr>
          <w:rFonts w:ascii="Tahoma" w:hAnsi="Tahoma" w:cs="Tahoma"/>
          <w:sz w:val="20"/>
        </w:rPr>
        <w:t>.</w:t>
      </w:r>
    </w:p>
    <w:p w14:paraId="1BB246F6" w14:textId="77777777" w:rsidR="00465C63" w:rsidRPr="00BC3DE6" w:rsidRDefault="00465C63" w:rsidP="000F7FA7">
      <w:pPr>
        <w:spacing w:after="120"/>
        <w:ind w:firstLine="709"/>
        <w:jc w:val="both"/>
        <w:rPr>
          <w:rFonts w:ascii="Tahoma" w:hAnsi="Tahoma" w:cs="Tahoma"/>
          <w:sz w:val="20"/>
        </w:rPr>
      </w:pPr>
    </w:p>
    <w:p w14:paraId="215906A3" w14:textId="77777777" w:rsidR="00465C63" w:rsidRPr="00BC3DE6" w:rsidRDefault="00465C63" w:rsidP="00EC5FD6">
      <w:pPr>
        <w:pStyle w:val="Subttulo"/>
        <w:rPr>
          <w:sz w:val="20"/>
        </w:rPr>
      </w:pPr>
      <w:bookmarkStart w:id="6" w:name="_Toc181542558"/>
      <w:r w:rsidRPr="00BC3DE6">
        <w:rPr>
          <w:sz w:val="20"/>
        </w:rPr>
        <w:t>Dos Objetivos</w:t>
      </w:r>
      <w:bookmarkEnd w:id="6"/>
    </w:p>
    <w:p w14:paraId="6F6068B0" w14:textId="60086EE6" w:rsidR="00465C63" w:rsidRPr="00E8601E" w:rsidRDefault="00465C63" w:rsidP="000F7FA7">
      <w:pPr>
        <w:spacing w:after="120"/>
        <w:ind w:firstLine="709"/>
        <w:jc w:val="both"/>
        <w:rPr>
          <w:rFonts w:ascii="Tahoma" w:hAnsi="Tahoma" w:cs="Tahoma"/>
          <w:sz w:val="20"/>
        </w:rPr>
      </w:pPr>
      <w:r w:rsidRPr="00BC3DE6">
        <w:rPr>
          <w:rFonts w:ascii="Tahoma" w:hAnsi="Tahoma" w:cs="Tahoma"/>
          <w:sz w:val="20"/>
        </w:rPr>
        <w:t xml:space="preserve">Os objetivos contemplam horizontes de curto </w:t>
      </w:r>
      <w:r w:rsidR="00F918BC" w:rsidRPr="00BC3DE6">
        <w:rPr>
          <w:rFonts w:ascii="Tahoma" w:hAnsi="Tahoma" w:cs="Tahoma"/>
          <w:sz w:val="20"/>
        </w:rPr>
        <w:t>e</w:t>
      </w:r>
      <w:r w:rsidRPr="00BC3DE6">
        <w:rPr>
          <w:rFonts w:ascii="Tahoma" w:hAnsi="Tahoma" w:cs="Tahoma"/>
          <w:sz w:val="20"/>
        </w:rPr>
        <w:t xml:space="preserve"> longo prazo. Em essência, o </w:t>
      </w:r>
      <w:r w:rsidR="00F53C5D" w:rsidRPr="00BC3DE6">
        <w:rPr>
          <w:rFonts w:ascii="Tahoma" w:hAnsi="Tahoma" w:cs="Tahoma"/>
          <w:sz w:val="20"/>
        </w:rPr>
        <w:t>Regime Próprio de Previdência Social</w:t>
      </w:r>
      <w:r w:rsidRPr="00BC3DE6">
        <w:rPr>
          <w:rFonts w:ascii="Tahoma" w:hAnsi="Tahoma" w:cs="Tahoma"/>
          <w:sz w:val="20"/>
        </w:rPr>
        <w:t xml:space="preserve"> dos servidores públicos do </w:t>
      </w:r>
      <w:r w:rsidR="00616F1F" w:rsidRPr="00BC3DE6">
        <w:rPr>
          <w:rFonts w:ascii="Tahoma" w:hAnsi="Tahoma" w:cs="Tahoma"/>
          <w:b/>
          <w:noProof/>
          <w:sz w:val="20"/>
        </w:rPr>
        <w:fldChar w:fldCharType="begin"/>
      </w:r>
      <w:r w:rsidR="00616F1F" w:rsidRPr="00BC3DE6">
        <w:rPr>
          <w:rFonts w:ascii="Tahoma" w:hAnsi="Tahoma" w:cs="Tahoma"/>
          <w:b/>
          <w:noProof/>
          <w:sz w:val="20"/>
        </w:rPr>
        <w:instrText xml:space="preserve"> MERGEFIELD RPPS </w:instrText>
      </w:r>
      <w:r w:rsidR="00616F1F" w:rsidRPr="00BC3DE6">
        <w:rPr>
          <w:rFonts w:ascii="Tahoma" w:hAnsi="Tahoma" w:cs="Tahoma"/>
          <w:b/>
          <w:noProof/>
          <w:sz w:val="20"/>
        </w:rPr>
        <w:fldChar w:fldCharType="separate"/>
      </w:r>
      <w:r w:rsidR="00A14265" w:rsidRPr="00BC514D">
        <w:rPr>
          <w:rFonts w:ascii="Tahoma" w:hAnsi="Tahoma" w:cs="Tahoma"/>
          <w:b/>
          <w:noProof/>
          <w:sz w:val="20"/>
        </w:rPr>
        <w:t>MUNICÍPIO DE TRIUNFO</w:t>
      </w:r>
      <w:r w:rsidR="00616F1F" w:rsidRPr="00BC3DE6">
        <w:rPr>
          <w:rFonts w:ascii="Tahoma" w:hAnsi="Tahoma" w:cs="Tahoma"/>
          <w:b/>
          <w:noProof/>
          <w:sz w:val="20"/>
        </w:rPr>
        <w:fldChar w:fldCharType="end"/>
      </w:r>
      <w:r w:rsidRPr="00BC3DE6">
        <w:rPr>
          <w:rFonts w:ascii="Tahoma" w:hAnsi="Tahoma" w:cs="Tahoma"/>
          <w:sz w:val="20"/>
        </w:rPr>
        <w:t xml:space="preserve"> deve ser organizado para garantir a cobertura contínua dos seus segurados por meio do plano de benefícios. Para isso, o seu equilíbrio financeiro e, principalmente, atuarial</w:t>
      </w:r>
      <w:r w:rsidR="0095399B">
        <w:rPr>
          <w:rFonts w:ascii="Tahoma" w:hAnsi="Tahoma" w:cs="Tahoma"/>
          <w:sz w:val="20"/>
        </w:rPr>
        <w:t>,</w:t>
      </w:r>
      <w:r w:rsidRPr="00BC3DE6">
        <w:rPr>
          <w:rFonts w:ascii="Tahoma" w:hAnsi="Tahoma" w:cs="Tahoma"/>
          <w:sz w:val="20"/>
        </w:rPr>
        <w:t xml:space="preserve"> representa o seu objetivo de longo prazo. Além disso, precisa visar permanentemente </w:t>
      </w:r>
      <w:r w:rsidR="005731B7" w:rsidRPr="00BC3DE6">
        <w:rPr>
          <w:rFonts w:ascii="Tahoma" w:hAnsi="Tahoma" w:cs="Tahoma"/>
          <w:sz w:val="20"/>
        </w:rPr>
        <w:t>a</w:t>
      </w:r>
      <w:r w:rsidRPr="00BC3DE6">
        <w:rPr>
          <w:rFonts w:ascii="Tahoma" w:hAnsi="Tahoma" w:cs="Tahoma"/>
          <w:sz w:val="20"/>
        </w:rPr>
        <w:t xml:space="preserve"> construção de processos de pleno acesso dos segurados </w:t>
      </w:r>
      <w:r w:rsidR="005731B7" w:rsidRPr="00BC3DE6">
        <w:rPr>
          <w:rFonts w:ascii="Tahoma" w:hAnsi="Tahoma" w:cs="Tahoma"/>
          <w:sz w:val="20"/>
        </w:rPr>
        <w:t>a</w:t>
      </w:r>
      <w:r w:rsidRPr="00BC3DE6">
        <w:rPr>
          <w:rFonts w:ascii="Tahoma" w:hAnsi="Tahoma" w:cs="Tahoma"/>
          <w:sz w:val="20"/>
        </w:rPr>
        <w:t>s informações relativas à gestão do regime e participação de representantes dos servidores públicos, ativos e inativos, nos colegiados e instâncias de decisão em que os seus interesses sejam objeto de discussão e deliberação, nos termos do art. 6º, Inciso IV e art. 1º, Inciso VI</w:t>
      </w:r>
      <w:r w:rsidR="00142E87" w:rsidRPr="00BC3DE6">
        <w:rPr>
          <w:rFonts w:ascii="Tahoma" w:hAnsi="Tahoma" w:cs="Tahoma"/>
          <w:sz w:val="20"/>
        </w:rPr>
        <w:t>,</w:t>
      </w:r>
      <w:r w:rsidRPr="00BC3DE6">
        <w:rPr>
          <w:rFonts w:ascii="Tahoma" w:hAnsi="Tahoma" w:cs="Tahoma"/>
          <w:sz w:val="20"/>
        </w:rPr>
        <w:t xml:space="preserve"> da Lei 9.717/98.</w:t>
      </w:r>
      <w:r w:rsidRPr="00E8601E">
        <w:rPr>
          <w:rFonts w:ascii="Tahoma" w:hAnsi="Tahoma" w:cs="Tahoma"/>
          <w:sz w:val="20"/>
        </w:rPr>
        <w:t xml:space="preserve"> </w:t>
      </w:r>
    </w:p>
    <w:p w14:paraId="609D2118" w14:textId="1E19BB76" w:rsidR="00465C63" w:rsidRPr="00BC3DE6" w:rsidRDefault="00465C63" w:rsidP="000F7FA7">
      <w:pPr>
        <w:spacing w:after="120"/>
        <w:ind w:firstLine="709"/>
        <w:jc w:val="both"/>
        <w:rPr>
          <w:rFonts w:ascii="Tahoma" w:hAnsi="Tahoma" w:cs="Tahoma"/>
          <w:sz w:val="20"/>
        </w:rPr>
      </w:pPr>
      <w:r w:rsidRPr="00BC3DE6">
        <w:rPr>
          <w:rFonts w:ascii="Tahoma" w:hAnsi="Tahoma" w:cs="Tahoma"/>
          <w:sz w:val="20"/>
        </w:rPr>
        <w:t xml:space="preserve">Nesse sentido, a </w:t>
      </w:r>
      <w:r w:rsidR="007A0B11" w:rsidRPr="00BC3DE6">
        <w:rPr>
          <w:rFonts w:ascii="Tahoma" w:hAnsi="Tahoma" w:cs="Tahoma"/>
          <w:sz w:val="20"/>
        </w:rPr>
        <w:t>Política de Investimentos</w:t>
      </w:r>
      <w:r w:rsidRPr="00BC3DE6">
        <w:rPr>
          <w:rFonts w:ascii="Tahoma" w:hAnsi="Tahoma" w:cs="Tahoma"/>
          <w:sz w:val="20"/>
        </w:rPr>
        <w:t xml:space="preserve"> define a estratégia de aplicação dos recursos no curto prazo. Anualmente, é necessário selecionar os diversos segmentos de aplicação e as respectivas carteiras de investimentos de acordo com o perfil das obrigações do respectivo </w:t>
      </w:r>
      <w:r w:rsidR="00F53C5D" w:rsidRPr="00BC3DE6">
        <w:rPr>
          <w:rFonts w:ascii="Tahoma" w:hAnsi="Tahoma" w:cs="Tahoma"/>
          <w:sz w:val="20"/>
        </w:rPr>
        <w:t>Regime Próprio de Previdência Social</w:t>
      </w:r>
      <w:r w:rsidRPr="00BC3DE6">
        <w:rPr>
          <w:rFonts w:ascii="Tahoma" w:hAnsi="Tahoma" w:cs="Tahoma"/>
          <w:sz w:val="20"/>
        </w:rPr>
        <w:t>, observados os critérios para aplicação dos recursos, conforme estabelecido pelo Conselho Monetário Nacional</w:t>
      </w:r>
      <w:r w:rsidR="00142E87" w:rsidRPr="00BC3DE6">
        <w:rPr>
          <w:rFonts w:ascii="Tahoma" w:hAnsi="Tahoma" w:cs="Tahoma"/>
          <w:sz w:val="20"/>
        </w:rPr>
        <w:t xml:space="preserve"> (CMN)</w:t>
      </w:r>
      <w:r w:rsidRPr="00BC3DE6">
        <w:rPr>
          <w:rFonts w:ascii="Tahoma" w:hAnsi="Tahoma" w:cs="Tahoma"/>
          <w:sz w:val="20"/>
        </w:rPr>
        <w:t>, tendo em vista a necessidade de buscar a manutenção do equilíbrio financeiro e atuarial e os limites de diversificação e concentração previstos na referida legislação.</w:t>
      </w:r>
    </w:p>
    <w:p w14:paraId="3F28CA6B" w14:textId="18B522EE" w:rsidR="00092B14" w:rsidRPr="00092B14" w:rsidRDefault="00092B14" w:rsidP="000F7FA7">
      <w:pPr>
        <w:spacing w:after="120"/>
        <w:ind w:firstLine="709"/>
        <w:jc w:val="both"/>
        <w:rPr>
          <w:rFonts w:ascii="Tahoma" w:hAnsi="Tahoma" w:cs="Tahoma"/>
          <w:sz w:val="20"/>
        </w:rPr>
      </w:pPr>
      <w:r w:rsidRPr="00BC3DE6">
        <w:rPr>
          <w:rFonts w:ascii="Tahoma" w:hAnsi="Tahoma" w:cs="Tahoma"/>
          <w:sz w:val="20"/>
        </w:rPr>
        <w:t xml:space="preserve">A </w:t>
      </w:r>
      <w:r w:rsidR="0095380A" w:rsidRPr="00BC3DE6">
        <w:rPr>
          <w:rFonts w:ascii="Tahoma" w:hAnsi="Tahoma" w:cs="Tahoma"/>
          <w:sz w:val="20"/>
        </w:rPr>
        <w:t>P</w:t>
      </w:r>
      <w:r w:rsidRPr="00BC3DE6">
        <w:rPr>
          <w:rFonts w:ascii="Tahoma" w:hAnsi="Tahoma" w:cs="Tahoma"/>
          <w:sz w:val="20"/>
        </w:rPr>
        <w:t>ortaria</w:t>
      </w:r>
      <w:r w:rsidR="0095380A" w:rsidRPr="00BC3DE6">
        <w:rPr>
          <w:rFonts w:ascii="Tahoma" w:hAnsi="Tahoma" w:cs="Tahoma"/>
          <w:sz w:val="20"/>
        </w:rPr>
        <w:t xml:space="preserve"> M</w:t>
      </w:r>
      <w:r w:rsidR="00BC3DE6" w:rsidRPr="00BC3DE6">
        <w:rPr>
          <w:rFonts w:ascii="Tahoma" w:hAnsi="Tahoma" w:cs="Tahoma"/>
          <w:sz w:val="20"/>
        </w:rPr>
        <w:t>TP</w:t>
      </w:r>
      <w:r w:rsidR="0095380A" w:rsidRPr="00BC3DE6">
        <w:rPr>
          <w:rFonts w:ascii="Tahoma" w:hAnsi="Tahoma" w:cs="Tahoma"/>
          <w:sz w:val="20"/>
        </w:rPr>
        <w:t xml:space="preserve"> nº</w:t>
      </w:r>
      <w:r w:rsidRPr="00BC3DE6">
        <w:rPr>
          <w:rFonts w:ascii="Tahoma" w:hAnsi="Tahoma" w:cs="Tahoma"/>
          <w:sz w:val="20"/>
        </w:rPr>
        <w:t xml:space="preserve"> 1.4</w:t>
      </w:r>
      <w:r w:rsidR="0095380A" w:rsidRPr="00BC3DE6">
        <w:rPr>
          <w:rFonts w:ascii="Tahoma" w:hAnsi="Tahoma" w:cs="Tahoma"/>
          <w:sz w:val="20"/>
        </w:rPr>
        <w:t>67</w:t>
      </w:r>
      <w:r w:rsidRPr="00BC3DE6">
        <w:rPr>
          <w:rFonts w:ascii="Tahoma" w:hAnsi="Tahoma" w:cs="Tahoma"/>
          <w:sz w:val="20"/>
        </w:rPr>
        <w:t>/202</w:t>
      </w:r>
      <w:r w:rsidR="0095380A" w:rsidRPr="00BC3DE6">
        <w:rPr>
          <w:rFonts w:ascii="Tahoma" w:hAnsi="Tahoma" w:cs="Tahoma"/>
          <w:sz w:val="20"/>
        </w:rPr>
        <w:t>2</w:t>
      </w:r>
      <w:r w:rsidRPr="00BC3DE6">
        <w:rPr>
          <w:rFonts w:ascii="Tahoma" w:hAnsi="Tahoma" w:cs="Tahoma"/>
          <w:sz w:val="20"/>
        </w:rPr>
        <w:t xml:space="preserve">, em seu artigo 102, elenca o que a </w:t>
      </w:r>
      <w:r w:rsidR="007A0B11" w:rsidRPr="00BC3DE6">
        <w:rPr>
          <w:rFonts w:ascii="Tahoma" w:hAnsi="Tahoma" w:cs="Tahoma"/>
          <w:sz w:val="20"/>
        </w:rPr>
        <w:t>Política de Investimentos</w:t>
      </w:r>
      <w:r w:rsidRPr="00BC3DE6">
        <w:rPr>
          <w:rFonts w:ascii="Tahoma" w:hAnsi="Tahoma" w:cs="Tahoma"/>
          <w:sz w:val="20"/>
        </w:rPr>
        <w:t xml:space="preserve"> deve</w:t>
      </w:r>
      <w:r w:rsidR="0095380A" w:rsidRPr="00BC3DE6">
        <w:rPr>
          <w:rFonts w:ascii="Tahoma" w:hAnsi="Tahoma" w:cs="Tahoma"/>
          <w:sz w:val="20"/>
        </w:rPr>
        <w:t xml:space="preserve"> contemplar</w:t>
      </w:r>
      <w:r w:rsidRPr="00BC3DE6">
        <w:rPr>
          <w:rFonts w:ascii="Tahoma" w:hAnsi="Tahoma" w:cs="Tahoma"/>
          <w:sz w:val="20"/>
        </w:rPr>
        <w:t xml:space="preserve">, no que se refere aos parâmetros de rentabilidade perseguidos, </w:t>
      </w:r>
      <w:r w:rsidR="0095380A" w:rsidRPr="00BC3DE6">
        <w:rPr>
          <w:rFonts w:ascii="Tahoma" w:hAnsi="Tahoma" w:cs="Tahoma"/>
          <w:sz w:val="20"/>
        </w:rPr>
        <w:t>sobretudo</w:t>
      </w:r>
      <w:r w:rsidR="0095399B">
        <w:rPr>
          <w:rFonts w:ascii="Tahoma" w:hAnsi="Tahoma" w:cs="Tahoma"/>
          <w:sz w:val="20"/>
        </w:rPr>
        <w:t>,</w:t>
      </w:r>
      <w:r w:rsidR="0095380A" w:rsidRPr="00BC3DE6">
        <w:rPr>
          <w:rFonts w:ascii="Tahoma" w:hAnsi="Tahoma" w:cs="Tahoma"/>
          <w:sz w:val="20"/>
        </w:rPr>
        <w:t xml:space="preserve"> </w:t>
      </w:r>
      <w:r w:rsidRPr="00BC3DE6">
        <w:rPr>
          <w:rFonts w:ascii="Tahoma" w:hAnsi="Tahoma" w:cs="Tahoma"/>
          <w:sz w:val="20"/>
        </w:rPr>
        <w:t>definir a meta de rentabilidade futura dos investimentos</w:t>
      </w:r>
      <w:r w:rsidR="0095399B">
        <w:rPr>
          <w:rFonts w:ascii="Tahoma" w:hAnsi="Tahoma" w:cs="Tahoma"/>
          <w:sz w:val="20"/>
        </w:rPr>
        <w:t>,</w:t>
      </w:r>
      <w:r w:rsidRPr="00BC3DE6">
        <w:rPr>
          <w:rFonts w:ascii="Tahoma" w:hAnsi="Tahoma" w:cs="Tahoma"/>
          <w:sz w:val="20"/>
        </w:rPr>
        <w:t xml:space="preserve"> que será utilizada para balizar a aderência da taxa utilizada na avaliação atuarial do regime</w:t>
      </w:r>
      <w:r w:rsidR="00BC3DE6" w:rsidRPr="00BC3DE6">
        <w:rPr>
          <w:rFonts w:ascii="Tahoma" w:hAnsi="Tahoma" w:cs="Tahoma"/>
          <w:sz w:val="20"/>
        </w:rPr>
        <w:t>.</w:t>
      </w:r>
    </w:p>
    <w:p w14:paraId="2F6C492C" w14:textId="7809BAC8" w:rsidR="00092B14" w:rsidRPr="00E8601E" w:rsidRDefault="00092B14" w:rsidP="000F7FA7">
      <w:pPr>
        <w:spacing w:after="120"/>
        <w:ind w:firstLine="709"/>
        <w:jc w:val="both"/>
        <w:rPr>
          <w:rFonts w:ascii="Tahoma" w:hAnsi="Tahoma" w:cs="Tahoma"/>
          <w:sz w:val="20"/>
        </w:rPr>
      </w:pPr>
      <w:r w:rsidRPr="00092B14">
        <w:rPr>
          <w:rFonts w:ascii="Tahoma" w:hAnsi="Tahoma" w:cs="Tahoma"/>
          <w:sz w:val="20"/>
        </w:rPr>
        <w:t xml:space="preserve">Além disso, deve-se levar em consideração o disposto no </w:t>
      </w:r>
      <w:r w:rsidRPr="00BC3DE6">
        <w:rPr>
          <w:rFonts w:ascii="Tahoma" w:hAnsi="Tahoma" w:cs="Tahoma"/>
          <w:sz w:val="20"/>
        </w:rPr>
        <w:t>Art. 4º</w:t>
      </w:r>
      <w:r w:rsidR="004B423B" w:rsidRPr="00BC3DE6">
        <w:rPr>
          <w:rFonts w:ascii="Tahoma" w:hAnsi="Tahoma" w:cs="Tahoma"/>
          <w:sz w:val="20"/>
        </w:rPr>
        <w:t>,</w:t>
      </w:r>
      <w:r w:rsidRPr="00BC3DE6">
        <w:rPr>
          <w:rFonts w:ascii="Tahoma" w:hAnsi="Tahoma" w:cs="Tahoma"/>
          <w:sz w:val="20"/>
        </w:rPr>
        <w:t xml:space="preserve"> da</w:t>
      </w:r>
      <w:r w:rsidRPr="00092B14">
        <w:rPr>
          <w:rFonts w:ascii="Tahoma" w:hAnsi="Tahoma" w:cs="Tahoma"/>
          <w:sz w:val="20"/>
        </w:rPr>
        <w:t xml:space="preserve"> Seção II, do Anexo VII, da Portaria </w:t>
      </w:r>
      <w:r w:rsidR="0034319A">
        <w:rPr>
          <w:rFonts w:ascii="Tahoma" w:hAnsi="Tahoma" w:cs="Tahoma"/>
          <w:sz w:val="20"/>
        </w:rPr>
        <w:t xml:space="preserve">MTP nº </w:t>
      </w:r>
      <w:r w:rsidR="007F6D14">
        <w:rPr>
          <w:rFonts w:ascii="Tahoma" w:hAnsi="Tahoma" w:cs="Tahoma"/>
          <w:sz w:val="20"/>
        </w:rPr>
        <w:t>1.467</w:t>
      </w:r>
      <w:r w:rsidR="0034319A">
        <w:rPr>
          <w:rFonts w:ascii="Tahoma" w:hAnsi="Tahoma" w:cs="Tahoma"/>
          <w:sz w:val="20"/>
        </w:rPr>
        <w:t>/2022</w:t>
      </w:r>
      <w:r w:rsidRPr="00092B14">
        <w:rPr>
          <w:rFonts w:ascii="Tahoma" w:hAnsi="Tahoma" w:cs="Tahoma"/>
          <w:sz w:val="20"/>
        </w:rPr>
        <w:t xml:space="preserve">, alterada pela </w:t>
      </w:r>
      <w:r w:rsidRPr="0034319A">
        <w:rPr>
          <w:rFonts w:ascii="Tahoma" w:hAnsi="Tahoma" w:cs="Tahoma"/>
          <w:b/>
          <w:bCs/>
          <w:sz w:val="20"/>
        </w:rPr>
        <w:t xml:space="preserve">Portaria MPS nº </w:t>
      </w:r>
      <w:r w:rsidR="00BC3DE6" w:rsidRPr="0034319A">
        <w:rPr>
          <w:rFonts w:ascii="Tahoma" w:hAnsi="Tahoma" w:cs="Tahoma"/>
          <w:b/>
          <w:bCs/>
          <w:sz w:val="20"/>
        </w:rPr>
        <w:t>1.499</w:t>
      </w:r>
      <w:r w:rsidR="004B423B" w:rsidRPr="0034319A">
        <w:rPr>
          <w:rFonts w:ascii="Tahoma" w:hAnsi="Tahoma" w:cs="Tahoma"/>
          <w:b/>
          <w:bCs/>
          <w:sz w:val="20"/>
        </w:rPr>
        <w:t xml:space="preserve">, de </w:t>
      </w:r>
      <w:r w:rsidR="00BC3DE6" w:rsidRPr="0034319A">
        <w:rPr>
          <w:rFonts w:ascii="Tahoma" w:hAnsi="Tahoma" w:cs="Tahoma"/>
          <w:b/>
          <w:bCs/>
          <w:sz w:val="20"/>
        </w:rPr>
        <w:t>28 de maio de 2024</w:t>
      </w:r>
      <w:r w:rsidR="0095399B" w:rsidRPr="0095399B">
        <w:rPr>
          <w:rFonts w:ascii="Tahoma" w:hAnsi="Tahoma" w:cs="Tahoma"/>
          <w:sz w:val="20"/>
        </w:rPr>
        <w:t>,</w:t>
      </w:r>
      <w:r w:rsidR="00BC3DE6">
        <w:rPr>
          <w:rFonts w:ascii="Tahoma" w:hAnsi="Tahoma" w:cs="Tahoma"/>
          <w:sz w:val="20"/>
        </w:rPr>
        <w:t xml:space="preserve"> </w:t>
      </w:r>
      <w:r w:rsidRPr="00092B14">
        <w:rPr>
          <w:rFonts w:ascii="Tahoma" w:hAnsi="Tahoma" w:cs="Tahoma"/>
          <w:sz w:val="20"/>
        </w:rPr>
        <w:t>em que deverão ser “acrescidas em 0,15 pontos percentuais para cada ano em que a taxa de juros utilizada nas avaliações atuariais dos últimos 5 (cinco) exercícios antecedentes a data focal da avaliação tiveram sido alcançados pelo RPPS, limitada a 0,6 pontos percentuais”.</w:t>
      </w:r>
    </w:p>
    <w:p w14:paraId="5672C7D1" w14:textId="5A47F0C9" w:rsidR="00A75E13" w:rsidRPr="00A75E13" w:rsidRDefault="00465C63" w:rsidP="00A75E13">
      <w:pPr>
        <w:rPr>
          <w:bCs/>
          <w:sz w:val="20"/>
        </w:rPr>
      </w:pPr>
      <w:r w:rsidRPr="00A75E13">
        <w:rPr>
          <w:rFonts w:ascii="Tahoma" w:hAnsi="Tahoma" w:cs="Tahoma"/>
          <w:bCs/>
          <w:sz w:val="20"/>
        </w:rPr>
        <w:t xml:space="preserve">Por conseguinte, o </w:t>
      </w:r>
      <w:r w:rsidR="00616F1F" w:rsidRPr="00A75E13">
        <w:rPr>
          <w:rFonts w:ascii="Tahoma" w:hAnsi="Tahoma" w:cs="Tahoma"/>
          <w:bCs/>
          <w:sz w:val="20"/>
        </w:rPr>
        <w:fldChar w:fldCharType="begin"/>
      </w:r>
      <w:r w:rsidR="00616F1F" w:rsidRPr="00A75E13">
        <w:rPr>
          <w:rFonts w:ascii="Tahoma" w:hAnsi="Tahoma" w:cs="Tahoma"/>
          <w:bCs/>
          <w:sz w:val="20"/>
        </w:rPr>
        <w:instrText xml:space="preserve"> MERGEFIELD NOME_DO_FUNDO </w:instrText>
      </w:r>
      <w:r w:rsidR="00616F1F" w:rsidRPr="00A75E13">
        <w:rPr>
          <w:rFonts w:ascii="Tahoma" w:hAnsi="Tahoma" w:cs="Tahoma"/>
          <w:bCs/>
          <w:sz w:val="20"/>
        </w:rPr>
        <w:fldChar w:fldCharType="separate"/>
      </w:r>
      <w:r w:rsidR="00A14265" w:rsidRPr="00BC514D">
        <w:rPr>
          <w:rFonts w:ascii="Tahoma" w:hAnsi="Tahoma" w:cs="Tahoma"/>
          <w:bCs/>
          <w:noProof/>
          <w:sz w:val="20"/>
        </w:rPr>
        <w:t>FUNDO DE ASSISTÊNCIA E PREVIDÊNCIA DOS SERVIDORES ESTATUTÁRIOS DO MUNICÍPIO DE TRIUNFO – FAPETRI</w:t>
      </w:r>
      <w:r w:rsidR="00616F1F" w:rsidRPr="00A75E13">
        <w:rPr>
          <w:rFonts w:ascii="Tahoma" w:hAnsi="Tahoma" w:cs="Tahoma"/>
          <w:bCs/>
          <w:sz w:val="20"/>
        </w:rPr>
        <w:fldChar w:fldCharType="end"/>
      </w:r>
      <w:r w:rsidRPr="00A75E13">
        <w:rPr>
          <w:rFonts w:ascii="Tahoma" w:hAnsi="Tahoma" w:cs="Tahoma"/>
          <w:bCs/>
          <w:sz w:val="20"/>
        </w:rPr>
        <w:t xml:space="preserve"> precisa buscar, através da aplicação dos seus recursos, uma rentabilidade igual ou superior </w:t>
      </w:r>
      <w:r w:rsidR="00F918BC" w:rsidRPr="00A75E13">
        <w:rPr>
          <w:rFonts w:ascii="Tahoma" w:hAnsi="Tahoma" w:cs="Tahoma"/>
          <w:bCs/>
          <w:sz w:val="20"/>
        </w:rPr>
        <w:t>a</w:t>
      </w:r>
      <w:r w:rsidRPr="00A75E13">
        <w:rPr>
          <w:rFonts w:ascii="Tahoma" w:hAnsi="Tahoma" w:cs="Tahoma"/>
          <w:bCs/>
          <w:sz w:val="20"/>
        </w:rPr>
        <w:t xml:space="preserve"> sua meta atuarial. Com base no horizonte de longo prazo, e a situação financeira e atuarial observada atualmente, a META ATUARIAL, definida e aprovada juntamente com a </w:t>
      </w:r>
      <w:r w:rsidR="007A0B11" w:rsidRPr="00A75E13">
        <w:rPr>
          <w:rFonts w:ascii="Tahoma" w:hAnsi="Tahoma" w:cs="Tahoma"/>
          <w:bCs/>
          <w:sz w:val="20"/>
        </w:rPr>
        <w:t>Política de Investimentos</w:t>
      </w:r>
      <w:r w:rsidRPr="00A75E13">
        <w:rPr>
          <w:rFonts w:ascii="Tahoma" w:hAnsi="Tahoma" w:cs="Tahoma"/>
          <w:bCs/>
          <w:sz w:val="20"/>
        </w:rPr>
        <w:t xml:space="preserve">, será representada pelo benchmark </w:t>
      </w:r>
      <w:r w:rsidR="00616F1F" w:rsidRPr="00A75E13">
        <w:rPr>
          <w:rFonts w:ascii="Tahoma" w:hAnsi="Tahoma" w:cs="Tahoma"/>
          <w:bCs/>
          <w:sz w:val="20"/>
        </w:rPr>
        <w:fldChar w:fldCharType="begin"/>
      </w:r>
      <w:r w:rsidR="00616F1F" w:rsidRPr="00A75E13">
        <w:rPr>
          <w:rFonts w:ascii="Tahoma" w:hAnsi="Tahoma" w:cs="Tahoma"/>
          <w:bCs/>
          <w:sz w:val="20"/>
        </w:rPr>
        <w:instrText xml:space="preserve"> MERGEFIELD BENC </w:instrText>
      </w:r>
      <w:r w:rsidR="00616F1F" w:rsidRPr="00A75E13">
        <w:rPr>
          <w:rFonts w:ascii="Tahoma" w:hAnsi="Tahoma" w:cs="Tahoma"/>
          <w:bCs/>
          <w:sz w:val="20"/>
        </w:rPr>
        <w:fldChar w:fldCharType="separate"/>
      </w:r>
      <w:r w:rsidR="00A14265" w:rsidRPr="00BC514D">
        <w:rPr>
          <w:rFonts w:ascii="Tahoma" w:hAnsi="Tahoma" w:cs="Tahoma"/>
          <w:bCs/>
          <w:noProof/>
          <w:sz w:val="20"/>
        </w:rPr>
        <w:t>INPC ACRESCIDO DE 5,47%</w:t>
      </w:r>
      <w:r w:rsidR="00616F1F" w:rsidRPr="00A75E13">
        <w:rPr>
          <w:rFonts w:ascii="Tahoma" w:hAnsi="Tahoma" w:cs="Tahoma"/>
          <w:bCs/>
          <w:sz w:val="20"/>
        </w:rPr>
        <w:fldChar w:fldCharType="end"/>
      </w:r>
      <w:r w:rsidRPr="00A75E13">
        <w:rPr>
          <w:rFonts w:ascii="Tahoma" w:hAnsi="Tahoma" w:cs="Tahoma"/>
          <w:bCs/>
          <w:sz w:val="20"/>
        </w:rPr>
        <w:t xml:space="preserve"> a.a. (</w:t>
      </w:r>
      <w:r w:rsidR="00616F1F" w:rsidRPr="00A75E13">
        <w:rPr>
          <w:rFonts w:ascii="Tahoma" w:hAnsi="Tahoma" w:cs="Tahoma"/>
          <w:bCs/>
          <w:sz w:val="20"/>
        </w:rPr>
        <w:fldChar w:fldCharType="begin"/>
      </w:r>
      <w:r w:rsidR="00616F1F" w:rsidRPr="00A75E13">
        <w:rPr>
          <w:rFonts w:ascii="Tahoma" w:hAnsi="Tahoma" w:cs="Tahoma"/>
          <w:bCs/>
          <w:sz w:val="20"/>
        </w:rPr>
        <w:instrText xml:space="preserve"> MERGEFIELD META </w:instrText>
      </w:r>
      <w:r w:rsidR="00616F1F" w:rsidRPr="00A75E13">
        <w:rPr>
          <w:rFonts w:ascii="Tahoma" w:hAnsi="Tahoma" w:cs="Tahoma"/>
          <w:bCs/>
          <w:sz w:val="20"/>
        </w:rPr>
        <w:fldChar w:fldCharType="separate"/>
      </w:r>
      <w:r w:rsidR="00A14265" w:rsidRPr="00BC514D">
        <w:rPr>
          <w:rFonts w:ascii="Tahoma" w:hAnsi="Tahoma" w:cs="Tahoma"/>
          <w:bCs/>
          <w:noProof/>
          <w:sz w:val="20"/>
        </w:rPr>
        <w:t>INPC + 5,47%</w:t>
      </w:r>
      <w:r w:rsidR="00616F1F" w:rsidRPr="00A75E13">
        <w:rPr>
          <w:rFonts w:ascii="Tahoma" w:hAnsi="Tahoma" w:cs="Tahoma"/>
          <w:bCs/>
          <w:sz w:val="20"/>
        </w:rPr>
        <w:fldChar w:fldCharType="end"/>
      </w:r>
      <w:r w:rsidRPr="00A75E13">
        <w:rPr>
          <w:rFonts w:ascii="Tahoma" w:hAnsi="Tahoma" w:cs="Tahoma"/>
          <w:bCs/>
          <w:sz w:val="20"/>
        </w:rPr>
        <w:t xml:space="preserve"> a.a.). </w:t>
      </w:r>
      <w:r w:rsidR="00F918BC" w:rsidRPr="00A75E13">
        <w:rPr>
          <w:rFonts w:ascii="Tahoma" w:hAnsi="Tahoma" w:cs="Tahoma"/>
          <w:bCs/>
          <w:sz w:val="20"/>
        </w:rPr>
        <w:t xml:space="preserve">No mais, restou aplicada, nesta </w:t>
      </w:r>
      <w:r w:rsidR="007A0B11" w:rsidRPr="00A75E13">
        <w:rPr>
          <w:rFonts w:ascii="Tahoma" w:hAnsi="Tahoma" w:cs="Tahoma"/>
          <w:bCs/>
          <w:sz w:val="20"/>
        </w:rPr>
        <w:t>Política de Investimentos</w:t>
      </w:r>
      <w:r w:rsidR="00F918BC" w:rsidRPr="00A75E13">
        <w:rPr>
          <w:rFonts w:ascii="Tahoma" w:hAnsi="Tahoma" w:cs="Tahoma"/>
          <w:bCs/>
          <w:sz w:val="20"/>
        </w:rPr>
        <w:t>, a taxa de juros</w:t>
      </w:r>
      <w:r w:rsidR="0034319A" w:rsidRPr="00A75E13">
        <w:rPr>
          <w:rFonts w:ascii="Tahoma" w:hAnsi="Tahoma" w:cs="Tahoma"/>
          <w:bCs/>
          <w:sz w:val="20"/>
        </w:rPr>
        <w:t xml:space="preserve"> parâmetro</w:t>
      </w:r>
      <w:r w:rsidR="00F918BC" w:rsidRPr="00A75E13">
        <w:rPr>
          <w:rFonts w:ascii="Tahoma" w:hAnsi="Tahoma" w:cs="Tahoma"/>
          <w:bCs/>
          <w:sz w:val="20"/>
        </w:rPr>
        <w:t xml:space="preserve"> </w:t>
      </w:r>
      <w:r w:rsidR="0034319A" w:rsidRPr="00A75E13">
        <w:rPr>
          <w:rFonts w:ascii="Tahoma" w:hAnsi="Tahoma" w:cs="Tahoma"/>
          <w:bCs/>
          <w:sz w:val="20"/>
        </w:rPr>
        <w:t>orientada pel</w:t>
      </w:r>
      <w:r w:rsidR="00F918BC" w:rsidRPr="00A75E13">
        <w:rPr>
          <w:rFonts w:ascii="Tahoma" w:hAnsi="Tahoma" w:cs="Tahoma"/>
          <w:bCs/>
          <w:sz w:val="20"/>
        </w:rPr>
        <w:t xml:space="preserve">a Portaria </w:t>
      </w:r>
      <w:r w:rsidR="007A4CD5" w:rsidRPr="00A75E13">
        <w:rPr>
          <w:rFonts w:ascii="Tahoma" w:hAnsi="Tahoma" w:cs="Tahoma"/>
          <w:bCs/>
          <w:sz w:val="20"/>
        </w:rPr>
        <w:t>M</w:t>
      </w:r>
      <w:r w:rsidR="00092B14" w:rsidRPr="00A75E13">
        <w:rPr>
          <w:rFonts w:ascii="Tahoma" w:hAnsi="Tahoma" w:cs="Tahoma"/>
          <w:bCs/>
          <w:sz w:val="20"/>
        </w:rPr>
        <w:t>PS</w:t>
      </w:r>
      <w:r w:rsidR="00F918BC" w:rsidRPr="00A75E13">
        <w:rPr>
          <w:rFonts w:ascii="Tahoma" w:hAnsi="Tahoma" w:cs="Tahoma"/>
          <w:bCs/>
          <w:sz w:val="20"/>
        </w:rPr>
        <w:t xml:space="preserve"> nº </w:t>
      </w:r>
      <w:r w:rsidR="00BC3DE6" w:rsidRPr="00A75E13">
        <w:rPr>
          <w:rFonts w:ascii="Tahoma" w:hAnsi="Tahoma" w:cs="Tahoma"/>
          <w:bCs/>
          <w:sz w:val="20"/>
        </w:rPr>
        <w:t>1</w:t>
      </w:r>
      <w:r w:rsidR="0034319A" w:rsidRPr="00A75E13">
        <w:rPr>
          <w:rFonts w:ascii="Tahoma" w:hAnsi="Tahoma" w:cs="Tahoma"/>
          <w:bCs/>
          <w:sz w:val="20"/>
        </w:rPr>
        <w:t>.</w:t>
      </w:r>
      <w:r w:rsidR="00BC3DE6" w:rsidRPr="00A75E13">
        <w:rPr>
          <w:rFonts w:ascii="Tahoma" w:hAnsi="Tahoma" w:cs="Tahoma"/>
          <w:bCs/>
          <w:sz w:val="20"/>
        </w:rPr>
        <w:t>499/2024.</w:t>
      </w:r>
    </w:p>
    <w:p w14:paraId="60DFA349" w14:textId="0ECC80B8" w:rsidR="00465C63" w:rsidRPr="00D31186" w:rsidRDefault="00465C63" w:rsidP="00A75E13">
      <w:pPr>
        <w:pStyle w:val="Ttulo1"/>
        <w:rPr>
          <w:sz w:val="20"/>
        </w:rPr>
      </w:pPr>
      <w:r w:rsidRPr="00E8601E">
        <w:rPr>
          <w:sz w:val="20"/>
        </w:rPr>
        <w:br w:type="page"/>
      </w:r>
      <w:bookmarkStart w:id="7" w:name="_Toc181542559"/>
      <w:r w:rsidR="00AD12FB" w:rsidRPr="00A75E13">
        <w:rPr>
          <w:b w:val="0"/>
          <w:bCs/>
        </w:rPr>
        <w:object w:dxaOrig="2425" w:dyaOrig="2598" w14:anchorId="3993F9AC">
          <v:shape id="_x0000_i1054" type="#_x0000_t75" style="width:9.75pt;height:9pt" o:ole="">
            <v:imagedata r:id="rId11" o:title=""/>
          </v:shape>
          <o:OLEObject Type="Embed" ProgID="CorelDRAW.Graphic.13" ShapeID="_x0000_i1054" DrawAspect="Content" ObjectID="_1793685927" r:id="rId42"/>
        </w:object>
      </w:r>
      <w:r w:rsidRPr="00A75E13">
        <w:rPr>
          <w:rStyle w:val="Ttulo1Char"/>
          <w:b/>
          <w:bCs/>
          <w:sz w:val="22"/>
        </w:rPr>
        <w:t>MODELO DE GESTÃO E SERVIÇOS ESPECIALIZADOS</w:t>
      </w:r>
      <w:r w:rsidRPr="00D31186">
        <w:t xml:space="preserve"> </w:t>
      </w:r>
      <w:bookmarkEnd w:id="7"/>
      <w:r w:rsidRPr="00D31186">
        <w:rPr>
          <w:sz w:val="20"/>
        </w:rPr>
        <w:object w:dxaOrig="3163" w:dyaOrig="3187" w14:anchorId="585D2E33">
          <v:shape id="_x0000_i1055" type="#_x0000_t75" style="width:21.75pt;height:23.25pt" o:ole="">
            <v:imagedata r:id="rId13" o:title=""/>
          </v:shape>
          <o:OLEObject Type="Embed" ProgID="CorelDRAW.Graphic.13" ShapeID="_x0000_i1055" DrawAspect="Content" ObjectID="_1793685928" r:id="rId43"/>
        </w:object>
      </w:r>
    </w:p>
    <w:p w14:paraId="7E881B21" w14:textId="77777777" w:rsidR="00465C63" w:rsidRPr="00D31186" w:rsidRDefault="00465C63" w:rsidP="00AD12FB">
      <w:pPr>
        <w:spacing w:after="120"/>
        <w:ind w:firstLine="709"/>
        <w:jc w:val="both"/>
        <w:rPr>
          <w:rFonts w:ascii="Tahoma" w:hAnsi="Tahoma" w:cs="Tahoma"/>
          <w:sz w:val="20"/>
        </w:rPr>
      </w:pPr>
    </w:p>
    <w:p w14:paraId="4685CB9B" w14:textId="77777777" w:rsidR="00465C63" w:rsidRPr="00D31186" w:rsidRDefault="00465C63" w:rsidP="00EC5FD6">
      <w:pPr>
        <w:pStyle w:val="Subttulo"/>
        <w:rPr>
          <w:sz w:val="20"/>
        </w:rPr>
      </w:pPr>
      <w:bookmarkStart w:id="8" w:name="_Toc181542560"/>
      <w:r w:rsidRPr="00D31186">
        <w:rPr>
          <w:sz w:val="20"/>
        </w:rPr>
        <w:t>Do Modelo de Gestão</w:t>
      </w:r>
      <w:bookmarkEnd w:id="8"/>
    </w:p>
    <w:p w14:paraId="15E0D4A6" w14:textId="02A33F6C" w:rsidR="00465C63" w:rsidRPr="00D31186" w:rsidRDefault="00DB2570" w:rsidP="00AD12FB">
      <w:pPr>
        <w:spacing w:after="120"/>
        <w:ind w:firstLine="709"/>
        <w:jc w:val="both"/>
        <w:rPr>
          <w:rFonts w:ascii="Tahoma" w:hAnsi="Tahoma" w:cs="Tahoma"/>
          <w:sz w:val="20"/>
        </w:rPr>
      </w:pPr>
      <w:r w:rsidRPr="00D31186">
        <w:rPr>
          <w:rFonts w:ascii="Tahoma" w:hAnsi="Tahoma" w:cs="Tahoma"/>
          <w:noProof/>
          <w:sz w:val="20"/>
        </w:rPr>
        <mc:AlternateContent>
          <mc:Choice Requires="wps">
            <w:drawing>
              <wp:anchor distT="0" distB="0" distL="114300" distR="114300" simplePos="0" relativeHeight="251659264" behindDoc="0" locked="0" layoutInCell="1" allowOverlap="1" wp14:anchorId="4A3C7C43" wp14:editId="3F7B0AD4">
                <wp:simplePos x="0" y="0"/>
                <wp:positionH relativeFrom="page">
                  <wp:align>left</wp:align>
                </wp:positionH>
                <wp:positionV relativeFrom="paragraph">
                  <wp:posOffset>588645</wp:posOffset>
                </wp:positionV>
                <wp:extent cx="2604770" cy="1405890"/>
                <wp:effectExtent l="0" t="0" r="0" b="3810"/>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4770" cy="14061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5875">
                              <a:solidFill>
                                <a:schemeClr val="tx2">
                                  <a:lumMod val="100000"/>
                                  <a:lumOff val="0"/>
                                </a:schemeClr>
                              </a:solidFill>
                              <a:prstDash val="dash"/>
                              <a:miter lim="800000"/>
                              <a:headEnd/>
                              <a:tailEnd/>
                            </a14:hiddenLine>
                          </a:ext>
                        </a:extLst>
                      </wps:spPr>
                      <wps:txbx>
                        <w:txbxContent>
                          <w:p w14:paraId="07D85FE6" w14:textId="77777777" w:rsidR="007A0B11" w:rsidRPr="00C35223" w:rsidRDefault="007A0B11" w:rsidP="00C35223">
                            <w:pPr>
                              <w:rPr>
                                <w:szCs w:val="20"/>
                              </w:rPr>
                            </w:pPr>
                          </w:p>
                        </w:txbxContent>
                      </wps:txbx>
                      <wps:bodyPr rot="0" vert="horz" wrap="square" lIns="91440" tIns="45720" rIns="91440" bIns="4572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4A3C7C43" id="Text Box 2" o:spid="_x0000_s1027" type="#_x0000_t202" style="position:absolute;left:0;text-align:left;margin-left:0;margin-top:46.35pt;width:205.1pt;height:110.7pt;z-index:25165926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" filled="f" stroked="f" strokecolor="#1f497d [3215]" strokeweight="1.25pt">
                <v:stroke dashstyle="dash"/>
                <v:textbox>
                  <w:txbxContent>
                    <w:p w14:paraId="07D85FE6" w14:textId="77777777" w:rsidR="007A0B11" w:rsidRPr="00C35223" w:rsidRDefault="007A0B11" w:rsidP="00C35223">
                      <w:pPr>
                        <w:rPr>
                          <w:szCs w:val="20"/>
                        </w:rPr>
                      </w:pPr>
                    </w:p>
                  </w:txbxContent>
                </v:textbox>
                <w10:wrap type="square" anchorx="page"/>
              </v:shape>
            </w:pict>
          </mc:Fallback>
        </mc:AlternateContent>
      </w:r>
      <w:r w:rsidR="00465C63" w:rsidRPr="00D31186">
        <w:rPr>
          <w:rFonts w:ascii="Tahoma" w:hAnsi="Tahoma" w:cs="Tahoma"/>
          <w:sz w:val="20"/>
        </w:rPr>
        <w:t xml:space="preserve">O modelo de gestão dos recursos do regime próprio do </w:t>
      </w:r>
      <w:r w:rsidR="00616F1F" w:rsidRPr="00D31186">
        <w:rPr>
          <w:rFonts w:ascii="Tahoma" w:hAnsi="Tahoma" w:cs="Tahoma"/>
          <w:b/>
          <w:noProof/>
          <w:sz w:val="20"/>
        </w:rPr>
        <w:fldChar w:fldCharType="begin"/>
      </w:r>
      <w:r w:rsidR="00616F1F" w:rsidRPr="00D31186">
        <w:rPr>
          <w:rFonts w:ascii="Tahoma" w:hAnsi="Tahoma" w:cs="Tahoma"/>
          <w:b/>
          <w:noProof/>
          <w:sz w:val="20"/>
        </w:rPr>
        <w:instrText xml:space="preserve"> MERGEFIELD RPPS </w:instrText>
      </w:r>
      <w:r w:rsidR="00616F1F" w:rsidRPr="00D31186">
        <w:rPr>
          <w:rFonts w:ascii="Tahoma" w:hAnsi="Tahoma" w:cs="Tahoma"/>
          <w:b/>
          <w:noProof/>
          <w:sz w:val="20"/>
        </w:rPr>
        <w:fldChar w:fldCharType="separate"/>
      </w:r>
      <w:r w:rsidR="00A14265" w:rsidRPr="00BC514D">
        <w:rPr>
          <w:rFonts w:ascii="Tahoma" w:hAnsi="Tahoma" w:cs="Tahoma"/>
          <w:b/>
          <w:noProof/>
          <w:sz w:val="20"/>
        </w:rPr>
        <w:t>MUNICÍPIO DE TRIUNFO</w:t>
      </w:r>
      <w:r w:rsidR="00616F1F" w:rsidRPr="00D31186">
        <w:rPr>
          <w:rFonts w:ascii="Tahoma" w:hAnsi="Tahoma" w:cs="Tahoma"/>
          <w:b/>
          <w:noProof/>
          <w:sz w:val="20"/>
        </w:rPr>
        <w:fldChar w:fldCharType="end"/>
      </w:r>
      <w:r w:rsidR="00465C63" w:rsidRPr="00D31186">
        <w:rPr>
          <w:rFonts w:ascii="Tahoma" w:hAnsi="Tahoma" w:cs="Tahoma"/>
          <w:b/>
          <w:sz w:val="20"/>
        </w:rPr>
        <w:t xml:space="preserve"> </w:t>
      </w:r>
      <w:r w:rsidR="00465C63" w:rsidRPr="00D31186">
        <w:rPr>
          <w:rFonts w:ascii="Tahoma" w:hAnsi="Tahoma" w:cs="Tahoma"/>
          <w:sz w:val="20"/>
        </w:rPr>
        <w:t xml:space="preserve">é uma opção estratégica dos seus gestores. Segundo o art. </w:t>
      </w:r>
      <w:r w:rsidR="00D57CDD" w:rsidRPr="00D31186">
        <w:rPr>
          <w:rFonts w:ascii="Tahoma" w:hAnsi="Tahoma" w:cs="Tahoma"/>
          <w:sz w:val="20"/>
        </w:rPr>
        <w:t>21</w:t>
      </w:r>
      <w:r w:rsidR="004B423B" w:rsidRPr="00D31186">
        <w:rPr>
          <w:rFonts w:ascii="Tahoma" w:hAnsi="Tahoma" w:cs="Tahoma"/>
          <w:sz w:val="20"/>
        </w:rPr>
        <w:t>,</w:t>
      </w:r>
      <w:r w:rsidR="00465C63" w:rsidRPr="00D31186">
        <w:rPr>
          <w:rFonts w:ascii="Tahoma" w:hAnsi="Tahoma" w:cs="Tahoma"/>
          <w:sz w:val="20"/>
        </w:rPr>
        <w:t xml:space="preserve"> da Resolução CMN </w:t>
      </w:r>
      <w:r w:rsidR="00D57CDD" w:rsidRPr="00D31186">
        <w:rPr>
          <w:rFonts w:ascii="Tahoma" w:hAnsi="Tahoma" w:cs="Tahoma"/>
          <w:sz w:val="20"/>
        </w:rPr>
        <w:t>4.963/2021</w:t>
      </w:r>
      <w:r w:rsidR="004B423B" w:rsidRPr="00D31186">
        <w:rPr>
          <w:rFonts w:ascii="Tahoma" w:hAnsi="Tahoma" w:cs="Tahoma"/>
          <w:sz w:val="20"/>
        </w:rPr>
        <w:t>,</w:t>
      </w:r>
      <w:r w:rsidR="00465C63" w:rsidRPr="00D31186">
        <w:rPr>
          <w:rFonts w:ascii="Tahoma" w:hAnsi="Tahoma" w:cs="Tahoma"/>
          <w:sz w:val="20"/>
        </w:rPr>
        <w:t xml:space="preserve"> a gestão das aplicações dos recursos dos regimes próprios de previdência social poderá ser própria, por entidade autorizada e credenciada, ou mista. </w:t>
      </w:r>
    </w:p>
    <w:p w14:paraId="6D4AA7E3" w14:textId="718D3ED4" w:rsidR="00465C63" w:rsidRPr="00D31186" w:rsidRDefault="0034319A" w:rsidP="00AD12FB">
      <w:pPr>
        <w:spacing w:after="120"/>
        <w:ind w:firstLine="709"/>
        <w:jc w:val="both"/>
        <w:rPr>
          <w:rFonts w:ascii="Tahoma" w:hAnsi="Tahoma" w:cs="Tahoma"/>
          <w:sz w:val="20"/>
        </w:rPr>
      </w:pPr>
      <w:r w:rsidRPr="00D31186">
        <w:rPr>
          <w:rFonts w:ascii="Tahoma" w:hAnsi="Tahoma" w:cs="Tahoma"/>
          <w:noProof/>
          <w:sz w:val="20"/>
        </w:rPr>
        <mc:AlternateContent>
          <mc:Choice Requires="wps">
            <w:drawing>
              <wp:anchor distT="4294967294" distB="4294967294" distL="114300" distR="114300" simplePos="0" relativeHeight="251665408" behindDoc="0" locked="0" layoutInCell="1" allowOverlap="1" wp14:anchorId="09C24AD9" wp14:editId="20B50171">
                <wp:simplePos x="0" y="0"/>
                <wp:positionH relativeFrom="column">
                  <wp:posOffset>731695</wp:posOffset>
                </wp:positionH>
                <wp:positionV relativeFrom="paragraph">
                  <wp:posOffset>394275</wp:posOffset>
                </wp:positionV>
                <wp:extent cx="0" cy="1731645"/>
                <wp:effectExtent l="857250" t="0" r="0" b="0"/>
                <wp:wrapNone/>
                <wp:docPr id="14"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0" cy="1731645"/>
                        </a:xfrm>
                        <a:prstGeom prst="straightConnector1">
                          <a:avLst/>
                        </a:prstGeom>
                        <a:noFill/>
                        <a:ln w="3175">
                          <a:solidFill>
                            <a:schemeClr val="tx2">
                              <a:lumMod val="100000"/>
                              <a:lumOff val="0"/>
                            </a:schemeClr>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494B125" id="_x0000_t32" coordsize="21600,21600" o:spt="32" o:oned="t" path="m,l21600,21600e" filled="f">
                <v:path arrowok="t" fillok="f" o:connecttype="none"/>
                <o:lock v:ext="edit" shapetype="t"/>
              </v:shapetype>
              <v:shape id="AutoShape 8" o:spid="_x0000_s1026" type="#_x0000_t32" style="position:absolute;margin-left:57.6pt;margin-top:31.05pt;width:0;height:136.35pt;rotation:90;z-index:25166540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" strokecolor="#1f497d [3215]" strokeweight=".25pt">
                <v:stroke dashstyle="dash" endarrow="block"/>
              </v:shape>
            </w:pict>
          </mc:Fallback>
        </mc:AlternateContent>
      </w:r>
      <w:r w:rsidRPr="00D31186">
        <w:rPr>
          <w:rFonts w:ascii="Tahoma" w:hAnsi="Tahoma" w:cs="Tahoma"/>
          <w:noProof/>
          <w:sz w:val="20"/>
        </w:rPr>
        <mc:AlternateContent>
          <mc:Choice Requires="wps">
            <w:drawing>
              <wp:anchor distT="0" distB="0" distL="114300" distR="114300" simplePos="0" relativeHeight="251664384" behindDoc="0" locked="0" layoutInCell="1" allowOverlap="1" wp14:anchorId="029F27E2" wp14:editId="403C1966">
                <wp:simplePos x="0" y="0"/>
                <wp:positionH relativeFrom="column">
                  <wp:posOffset>-2022475</wp:posOffset>
                </wp:positionH>
                <wp:positionV relativeFrom="paragraph">
                  <wp:posOffset>38963</wp:posOffset>
                </wp:positionV>
                <wp:extent cx="3705225" cy="635"/>
                <wp:effectExtent l="0" t="76200" r="9525" b="75565"/>
                <wp:wrapNone/>
                <wp:docPr id="22"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5225" cy="635"/>
                        </a:xfrm>
                        <a:prstGeom prst="straightConnector1">
                          <a:avLst/>
                        </a:prstGeom>
                        <a:noFill/>
                        <a:ln w="3175">
                          <a:solidFill>
                            <a:schemeClr val="tx2">
                              <a:lumMod val="100000"/>
                              <a:lumOff val="0"/>
                            </a:schemeClr>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FC0DEB" id="AutoShape 7" o:spid="_x0000_s1026" type="#_x0000_t32" style="position:absolute;margin-left:-159.25pt;margin-top:3.05pt;width:291.75pt;height:.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" strokecolor="#1f497d [3215]" strokeweight=".25pt">
                <v:stroke dashstyle="dash" endarrow="block"/>
              </v:shape>
            </w:pict>
          </mc:Fallback>
        </mc:AlternateContent>
      </w:r>
      <w:r w:rsidR="00554B10" w:rsidRPr="00D31186">
        <w:rPr>
          <w:rFonts w:ascii="Tahoma" w:hAnsi="Tahoma" w:cs="Tahoma"/>
          <w:noProof/>
          <w:sz w:val="20"/>
        </w:rPr>
        <mc:AlternateContent>
          <mc:Choice Requires="wps">
            <w:drawing>
              <wp:anchor distT="0" distB="0" distL="114300" distR="114300" simplePos="0" relativeHeight="251668480" behindDoc="0" locked="0" layoutInCell="1" allowOverlap="1" wp14:anchorId="02BC1D34" wp14:editId="2252A3A5">
                <wp:simplePos x="0" y="0"/>
                <wp:positionH relativeFrom="column">
                  <wp:posOffset>1773148</wp:posOffset>
                </wp:positionH>
                <wp:positionV relativeFrom="paragraph">
                  <wp:posOffset>181347</wp:posOffset>
                </wp:positionV>
                <wp:extent cx="12700" cy="1092200"/>
                <wp:effectExtent l="76200" t="0" r="63500" b="50800"/>
                <wp:wrapNone/>
                <wp:docPr id="1" name="Conector de Seta Reta 1"/>
                <wp:cNvGraphicFramePr/>
                <a:graphic xmlns:a="http://schemas.openxmlformats.org/drawingml/2006/main">
                  <a:graphicData uri="http://schemas.microsoft.com/office/word/2010/wordprocessingShape">
                    <wps:wsp>
                      <wps:cNvCnPr/>
                      <wps:spPr>
                        <a:xfrm flipH="1">
                          <a:off x="0" y="0"/>
                          <a:ext cx="12700" cy="1092200"/>
                        </a:xfrm>
                        <a:prstGeom prst="straightConnector1">
                          <a:avLst/>
                        </a:prstGeom>
                        <a:ln>
                          <a:solidFill>
                            <a:srgbClr val="002060"/>
                          </a:solidFill>
                          <a:prstDash val="sysDot"/>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3D475134" id="_x0000_t32" coordsize="21600,21600" o:spt="32" o:oned="t" path="m,l21600,21600e" filled="f">
                <v:path arrowok="t" fillok="f" o:connecttype="none"/>
                <o:lock v:ext="edit" shapetype="t"/>
              </v:shapetype>
              <v:shape id="Conector de Seta Reta 1" o:spid="_x0000_s1026" type="#_x0000_t32" style="position:absolute;margin-left:139.6pt;margin-top:14.3pt;width:1pt;height:86pt;flip:x;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" strokecolor="#002060">
                <v:stroke dashstyle="1 1" endarrow="block"/>
              </v:shape>
            </w:pict>
          </mc:Fallback>
        </mc:AlternateContent>
      </w:r>
      <w:r w:rsidR="00554B10" w:rsidRPr="00D31186">
        <w:rPr>
          <w:rFonts w:ascii="Tahoma" w:hAnsi="Tahoma" w:cs="Tahoma"/>
          <w:noProof/>
          <w:sz w:val="20"/>
        </w:rPr>
        <mc:AlternateContent>
          <mc:Choice Requires="wps">
            <w:drawing>
              <wp:anchor distT="0" distB="0" distL="114300" distR="114300" simplePos="0" relativeHeight="251662336" behindDoc="0" locked="0" layoutInCell="1" allowOverlap="1" wp14:anchorId="0A322404" wp14:editId="1FE9226C">
                <wp:simplePos x="0" y="0"/>
                <wp:positionH relativeFrom="column">
                  <wp:posOffset>-672920</wp:posOffset>
                </wp:positionH>
                <wp:positionV relativeFrom="paragraph">
                  <wp:posOffset>59055</wp:posOffset>
                </wp:positionV>
                <wp:extent cx="2419350" cy="1149350"/>
                <wp:effectExtent l="0" t="0" r="0" b="0"/>
                <wp:wrapSquare wrapText="bothSides"/>
                <wp:docPr id="2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9350" cy="1149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3BAC0A" w14:textId="6F9B321C" w:rsidR="007A0B11" w:rsidRPr="00DB2570" w:rsidRDefault="007A0B11" w:rsidP="00DB2570">
                            <w:pPr>
                              <w:jc w:val="both"/>
                              <w:rPr>
                                <w:rFonts w:ascii="Bradley Hand ITC" w:hAnsi="Bradley Hand ITC"/>
                                <w:bCs/>
                                <w:color w:val="002060"/>
                                <w:sz w:val="24"/>
                                <w:szCs w:val="24"/>
                              </w:rPr>
                            </w:pPr>
                            <w:r w:rsidRPr="00094E55">
                              <w:rPr>
                                <w:rFonts w:ascii="Bradley Hand ITC" w:hAnsi="Bradley Hand ITC"/>
                                <w:b/>
                                <w:color w:val="002060"/>
                                <w:sz w:val="24"/>
                                <w:szCs w:val="24"/>
                              </w:rPr>
                              <w:t xml:space="preserve">ELABORAR </w:t>
                            </w:r>
                            <w:r w:rsidRPr="00DB2570">
                              <w:rPr>
                                <w:rFonts w:ascii="Bradley Hand ITC" w:hAnsi="Bradley Hand ITC"/>
                                <w:bCs/>
                                <w:color w:val="002060"/>
                                <w:sz w:val="24"/>
                                <w:szCs w:val="24"/>
                              </w:rPr>
                              <w:t xml:space="preserve">RELATÓRIOS DETALHADOS, no mínimo, TRIMESTRALMENTE, sobre os </w:t>
                            </w:r>
                            <w:r w:rsidRPr="00D31186">
                              <w:rPr>
                                <w:rFonts w:ascii="Bradley Hand ITC" w:hAnsi="Bradley Hand ITC"/>
                                <w:bCs/>
                                <w:color w:val="002060"/>
                                <w:sz w:val="24"/>
                                <w:szCs w:val="24"/>
                              </w:rPr>
                              <w:t>riscos, conforme  art. 136º da Portaria M</w:t>
                            </w:r>
                            <w:r w:rsidR="00D31186" w:rsidRPr="00D31186">
                              <w:rPr>
                                <w:rFonts w:ascii="Bradley Hand ITC" w:hAnsi="Bradley Hand ITC"/>
                                <w:bCs/>
                                <w:color w:val="002060"/>
                                <w:sz w:val="24"/>
                                <w:szCs w:val="24"/>
                              </w:rPr>
                              <w:t>TP</w:t>
                            </w:r>
                            <w:r w:rsidRPr="00D31186">
                              <w:rPr>
                                <w:rFonts w:ascii="Bradley Hand ITC" w:hAnsi="Bradley Hand ITC"/>
                                <w:bCs/>
                                <w:color w:val="002060"/>
                                <w:sz w:val="24"/>
                                <w:szCs w:val="24"/>
                              </w:rPr>
                              <w:t xml:space="preserve"> nº</w:t>
                            </w:r>
                            <w:r w:rsidRPr="00DB2570">
                              <w:rPr>
                                <w:rFonts w:ascii="Bradley Hand ITC" w:hAnsi="Bradley Hand ITC"/>
                                <w:bCs/>
                                <w:color w:val="002060"/>
                                <w:sz w:val="24"/>
                                <w:szCs w:val="24"/>
                              </w:rPr>
                              <w:t xml:space="preserve"> 1.467/2022...</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A322404" id="Text Box 5" o:spid="_x0000_s1028" type="#_x0000_t202" style="position:absolute;left:0;text-align:left;margin-left:-53pt;margin-top:4.65pt;width:190.5pt;height:9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" filled="f" stroked="f">
                <v:textbox>
                  <w:txbxContent>
                    <w:p w14:paraId="053BAC0A" w14:textId="6F9B321C" w:rsidR="007A0B11" w:rsidRPr="00DB2570" w:rsidRDefault="007A0B11" w:rsidP="00DB2570">
                      <w:pPr>
                        <w:jc w:val="both"/>
                        <w:rPr>
                          <w:rFonts w:ascii="Bradley Hand ITC" w:hAnsi="Bradley Hand ITC"/>
                          <w:bCs/>
                          <w:color w:val="002060"/>
                          <w:sz w:val="24"/>
                          <w:szCs w:val="24"/>
                        </w:rPr>
                      </w:pPr>
                      <w:r w:rsidRPr="00094E55">
                        <w:rPr>
                          <w:rFonts w:ascii="Bradley Hand ITC" w:hAnsi="Bradley Hand ITC"/>
                          <w:b/>
                          <w:color w:val="002060"/>
                          <w:sz w:val="24"/>
                          <w:szCs w:val="24"/>
                        </w:rPr>
                        <w:t xml:space="preserve">ELABORAR </w:t>
                      </w:r>
                      <w:r w:rsidRPr="00DB2570">
                        <w:rPr>
                          <w:rFonts w:ascii="Bradley Hand ITC" w:hAnsi="Bradley Hand ITC"/>
                          <w:bCs/>
                          <w:color w:val="002060"/>
                          <w:sz w:val="24"/>
                          <w:szCs w:val="24"/>
                        </w:rPr>
                        <w:t xml:space="preserve">RELATÓRIOS DETALHADOS, no mínimo, TRIMESTRALMENTE, sobre os </w:t>
                      </w:r>
                      <w:r w:rsidRPr="00D31186">
                        <w:rPr>
                          <w:rFonts w:ascii="Bradley Hand ITC" w:hAnsi="Bradley Hand ITC"/>
                          <w:bCs/>
                          <w:color w:val="002060"/>
                          <w:sz w:val="24"/>
                          <w:szCs w:val="24"/>
                        </w:rPr>
                        <w:t>riscos, conforme  art. 136º da Portaria M</w:t>
                      </w:r>
                      <w:r w:rsidR="00D31186" w:rsidRPr="00D31186">
                        <w:rPr>
                          <w:rFonts w:ascii="Bradley Hand ITC" w:hAnsi="Bradley Hand ITC"/>
                          <w:bCs/>
                          <w:color w:val="002060"/>
                          <w:sz w:val="24"/>
                          <w:szCs w:val="24"/>
                        </w:rPr>
                        <w:t>TP</w:t>
                      </w:r>
                      <w:r w:rsidRPr="00D31186">
                        <w:rPr>
                          <w:rFonts w:ascii="Bradley Hand ITC" w:hAnsi="Bradley Hand ITC"/>
                          <w:bCs/>
                          <w:color w:val="002060"/>
                          <w:sz w:val="24"/>
                          <w:szCs w:val="24"/>
                        </w:rPr>
                        <w:t xml:space="preserve"> nº</w:t>
                      </w:r>
                      <w:r w:rsidRPr="00DB2570">
                        <w:rPr>
                          <w:rFonts w:ascii="Bradley Hand ITC" w:hAnsi="Bradley Hand ITC"/>
                          <w:bCs/>
                          <w:color w:val="002060"/>
                          <w:sz w:val="24"/>
                          <w:szCs w:val="24"/>
                        </w:rPr>
                        <w:t xml:space="preserve"> 1.467/2022...</w:t>
                      </w:r>
                    </w:p>
                  </w:txbxContent>
                </v:textbox>
                <w10:wrap type="square"/>
              </v:shape>
            </w:pict>
          </mc:Fallback>
        </mc:AlternateContent>
      </w:r>
      <w:r w:rsidR="00465C63" w:rsidRPr="00D31186">
        <w:rPr>
          <w:rFonts w:ascii="Tahoma" w:hAnsi="Tahoma" w:cs="Tahoma"/>
          <w:sz w:val="20"/>
        </w:rPr>
        <w:t xml:space="preserve">O </w:t>
      </w:r>
      <w:r w:rsidR="00616F1F" w:rsidRPr="00D31186">
        <w:rPr>
          <w:rFonts w:ascii="Tahoma" w:hAnsi="Tahoma" w:cs="Tahoma"/>
          <w:b/>
          <w:noProof/>
          <w:sz w:val="20"/>
        </w:rPr>
        <w:fldChar w:fldCharType="begin"/>
      </w:r>
      <w:r w:rsidR="00616F1F" w:rsidRPr="00D31186">
        <w:rPr>
          <w:rFonts w:ascii="Tahoma" w:hAnsi="Tahoma" w:cs="Tahoma"/>
          <w:b/>
          <w:noProof/>
          <w:sz w:val="20"/>
        </w:rPr>
        <w:instrText xml:space="preserve"> MERGEFIELD NOME_DO_FUNDO </w:instrText>
      </w:r>
      <w:r w:rsidR="00616F1F" w:rsidRPr="00D31186">
        <w:rPr>
          <w:rFonts w:ascii="Tahoma" w:hAnsi="Tahoma" w:cs="Tahoma"/>
          <w:b/>
          <w:noProof/>
          <w:sz w:val="20"/>
        </w:rPr>
        <w:fldChar w:fldCharType="separate"/>
      </w:r>
      <w:r w:rsidR="00A14265" w:rsidRPr="00BC514D">
        <w:rPr>
          <w:rFonts w:ascii="Tahoma" w:hAnsi="Tahoma" w:cs="Tahoma"/>
          <w:b/>
          <w:noProof/>
          <w:sz w:val="20"/>
        </w:rPr>
        <w:t>FUNDO DE ASSISTÊNCIA E PREVIDÊNCIA DOS SERVIDORES ESTATUTÁRIOS DO MUNICÍPIO DE TRIUNFO – FAPETRI</w:t>
      </w:r>
      <w:r w:rsidR="00616F1F" w:rsidRPr="00D31186">
        <w:rPr>
          <w:rFonts w:ascii="Tahoma" w:hAnsi="Tahoma" w:cs="Tahoma"/>
          <w:b/>
          <w:noProof/>
          <w:sz w:val="20"/>
        </w:rPr>
        <w:fldChar w:fldCharType="end"/>
      </w:r>
      <w:r w:rsidR="00465C63" w:rsidRPr="00D31186">
        <w:rPr>
          <w:rFonts w:ascii="Tahoma" w:hAnsi="Tahoma" w:cs="Tahoma"/>
          <w:sz w:val="20"/>
        </w:rPr>
        <w:t xml:space="preserve"> compreendeu o modelo de GESTÃO PRÓPRIA, ou seja, quando as aplicações são realizadas diretamente pelo órgão ou entidade gestora do </w:t>
      </w:r>
      <w:r w:rsidR="00F53C5D" w:rsidRPr="00D31186">
        <w:rPr>
          <w:rFonts w:ascii="Tahoma" w:hAnsi="Tahoma" w:cs="Tahoma"/>
          <w:sz w:val="20"/>
        </w:rPr>
        <w:t>Regime Próprio de Previdência Social</w:t>
      </w:r>
      <w:r w:rsidR="00465C63" w:rsidRPr="00D31186">
        <w:rPr>
          <w:rFonts w:ascii="Tahoma" w:hAnsi="Tahoma" w:cs="Tahoma"/>
          <w:sz w:val="20"/>
        </w:rPr>
        <w:t xml:space="preserve">. </w:t>
      </w:r>
    </w:p>
    <w:p w14:paraId="6417A985" w14:textId="21C93803" w:rsidR="00465C63" w:rsidRPr="00D31186" w:rsidRDefault="0034319A" w:rsidP="00AD12FB">
      <w:pPr>
        <w:spacing w:after="120"/>
        <w:ind w:firstLine="709"/>
        <w:jc w:val="both"/>
        <w:rPr>
          <w:rFonts w:ascii="Tahoma" w:hAnsi="Tahoma" w:cs="Tahoma"/>
          <w:sz w:val="20"/>
        </w:rPr>
      </w:pPr>
      <w:r w:rsidRPr="00D31186">
        <w:rPr>
          <w:rFonts w:ascii="Tahoma" w:hAnsi="Tahoma" w:cs="Tahoma"/>
          <w:noProof/>
          <w:sz w:val="20"/>
        </w:rPr>
        <mc:AlternateContent>
          <mc:Choice Requires="wps">
            <w:drawing>
              <wp:anchor distT="4294967294" distB="4294967294" distL="114300" distR="114300" simplePos="0" relativeHeight="251674624" behindDoc="0" locked="0" layoutInCell="1" allowOverlap="1" wp14:anchorId="2D775726" wp14:editId="47308DC5">
                <wp:simplePos x="0" y="0"/>
                <wp:positionH relativeFrom="column">
                  <wp:posOffset>4893179</wp:posOffset>
                </wp:positionH>
                <wp:positionV relativeFrom="paragraph">
                  <wp:posOffset>282965</wp:posOffset>
                </wp:positionV>
                <wp:extent cx="0" cy="1731645"/>
                <wp:effectExtent l="857250" t="0" r="0" b="0"/>
                <wp:wrapNone/>
                <wp:docPr id="536105250"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0" cy="1731645"/>
                        </a:xfrm>
                        <a:prstGeom prst="straightConnector1">
                          <a:avLst/>
                        </a:prstGeom>
                        <a:noFill/>
                        <a:ln w="3175">
                          <a:solidFill>
                            <a:schemeClr val="tx2">
                              <a:lumMod val="100000"/>
                              <a:lumOff val="0"/>
                            </a:schemeClr>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D5BFBE" id="AutoShape 8" o:spid="_x0000_s1026" type="#_x0000_t32" style="position:absolute;margin-left:385.3pt;margin-top:22.3pt;width:0;height:136.35pt;rotation:90;z-index:25167462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" strokecolor="#1f497d [3215]" strokeweight=".25pt">
                <v:stroke dashstyle="dash" endarrow="block"/>
              </v:shape>
            </w:pict>
          </mc:Fallback>
        </mc:AlternateContent>
      </w:r>
      <w:r w:rsidRPr="00D31186">
        <w:rPr>
          <w:rFonts w:ascii="Tahoma" w:hAnsi="Tahoma" w:cs="Tahoma"/>
          <w:noProof/>
          <w:sz w:val="20"/>
        </w:rPr>
        <mc:AlternateContent>
          <mc:Choice Requires="wps">
            <w:drawing>
              <wp:anchor distT="0" distB="0" distL="114300" distR="114300" simplePos="0" relativeHeight="251672576" behindDoc="0" locked="0" layoutInCell="1" allowOverlap="1" wp14:anchorId="4F8D8C77" wp14:editId="5B49F27A">
                <wp:simplePos x="0" y="0"/>
                <wp:positionH relativeFrom="column">
                  <wp:posOffset>3308709</wp:posOffset>
                </wp:positionH>
                <wp:positionV relativeFrom="paragraph">
                  <wp:posOffset>1105846</wp:posOffset>
                </wp:positionV>
                <wp:extent cx="12700" cy="1092200"/>
                <wp:effectExtent l="76200" t="0" r="63500" b="50800"/>
                <wp:wrapNone/>
                <wp:docPr id="3" name="Conector de Seta Reta 3"/>
                <wp:cNvGraphicFramePr/>
                <a:graphic xmlns:a="http://schemas.openxmlformats.org/drawingml/2006/main">
                  <a:graphicData uri="http://schemas.microsoft.com/office/word/2010/wordprocessingShape">
                    <wps:wsp>
                      <wps:cNvCnPr/>
                      <wps:spPr>
                        <a:xfrm flipH="1">
                          <a:off x="0" y="0"/>
                          <a:ext cx="12700" cy="1092200"/>
                        </a:xfrm>
                        <a:prstGeom prst="straightConnector1">
                          <a:avLst/>
                        </a:prstGeom>
                        <a:ln>
                          <a:solidFill>
                            <a:srgbClr val="002060"/>
                          </a:solidFill>
                          <a:prstDash val="sysDot"/>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48F0F66" id="Conector de Seta Reta 3" o:spid="_x0000_s1026" type="#_x0000_t32" style="position:absolute;margin-left:260.55pt;margin-top:87.05pt;width:1pt;height:86pt;flip:x;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" strokecolor="#002060">
                <v:stroke dashstyle="1 1" endarrow="block"/>
              </v:shape>
            </w:pict>
          </mc:Fallback>
        </mc:AlternateContent>
      </w:r>
      <w:r w:rsidR="00465C63" w:rsidRPr="00D31186">
        <w:rPr>
          <w:rFonts w:ascii="Tahoma" w:hAnsi="Tahoma" w:cs="Tahoma"/>
          <w:sz w:val="20"/>
        </w:rPr>
        <w:t>No processo de gestão, destaca</w:t>
      </w:r>
      <w:r w:rsidR="0095399B">
        <w:rPr>
          <w:rFonts w:ascii="Tahoma" w:hAnsi="Tahoma" w:cs="Tahoma"/>
          <w:sz w:val="20"/>
        </w:rPr>
        <w:t>m</w:t>
      </w:r>
      <w:r w:rsidR="00465C63" w:rsidRPr="00D31186">
        <w:rPr>
          <w:rFonts w:ascii="Tahoma" w:hAnsi="Tahoma" w:cs="Tahoma"/>
          <w:sz w:val="20"/>
        </w:rPr>
        <w:t xml:space="preserve">-se alguns cuidados importantes. Na aplicação dos recursos o </w:t>
      </w:r>
      <w:r w:rsidR="00616F1F" w:rsidRPr="00D31186">
        <w:rPr>
          <w:rFonts w:ascii="Tahoma" w:hAnsi="Tahoma" w:cs="Tahoma"/>
          <w:b/>
          <w:noProof/>
          <w:sz w:val="20"/>
        </w:rPr>
        <w:fldChar w:fldCharType="begin"/>
      </w:r>
      <w:r w:rsidR="00616F1F" w:rsidRPr="00D31186">
        <w:rPr>
          <w:rFonts w:ascii="Tahoma" w:hAnsi="Tahoma" w:cs="Tahoma"/>
          <w:b/>
          <w:noProof/>
          <w:sz w:val="20"/>
        </w:rPr>
        <w:instrText xml:space="preserve"> MERGEFIELD RPPS </w:instrText>
      </w:r>
      <w:r w:rsidR="00616F1F" w:rsidRPr="00D31186">
        <w:rPr>
          <w:rFonts w:ascii="Tahoma" w:hAnsi="Tahoma" w:cs="Tahoma"/>
          <w:b/>
          <w:noProof/>
          <w:sz w:val="20"/>
        </w:rPr>
        <w:fldChar w:fldCharType="separate"/>
      </w:r>
      <w:r w:rsidR="00A14265" w:rsidRPr="00BC514D">
        <w:rPr>
          <w:rFonts w:ascii="Tahoma" w:hAnsi="Tahoma" w:cs="Tahoma"/>
          <w:b/>
          <w:noProof/>
          <w:sz w:val="20"/>
        </w:rPr>
        <w:t>MUNICÍPIO DE TRIUNFO</w:t>
      </w:r>
      <w:r w:rsidR="00616F1F" w:rsidRPr="00D31186">
        <w:rPr>
          <w:rFonts w:ascii="Tahoma" w:hAnsi="Tahoma" w:cs="Tahoma"/>
          <w:b/>
          <w:noProof/>
          <w:sz w:val="20"/>
        </w:rPr>
        <w:fldChar w:fldCharType="end"/>
      </w:r>
      <w:r w:rsidR="00465C63" w:rsidRPr="00D31186">
        <w:rPr>
          <w:rFonts w:ascii="Tahoma" w:hAnsi="Tahoma" w:cs="Tahoma"/>
          <w:sz w:val="20"/>
        </w:rPr>
        <w:t xml:space="preserve"> somente fará aplicações em instituições que demostrem ter segurança </w:t>
      </w:r>
      <w:r w:rsidR="0095399B">
        <w:rPr>
          <w:rFonts w:ascii="Tahoma" w:hAnsi="Tahoma" w:cs="Tahoma"/>
          <w:sz w:val="20"/>
        </w:rPr>
        <w:t xml:space="preserve">e </w:t>
      </w:r>
      <w:r w:rsidR="00465C63" w:rsidRPr="00D31186">
        <w:rPr>
          <w:rFonts w:ascii="Tahoma" w:hAnsi="Tahoma" w:cs="Tahoma"/>
          <w:sz w:val="20"/>
        </w:rPr>
        <w:t>atendam a lista exaustiva d</w:t>
      </w:r>
      <w:r w:rsidR="00F53C5D" w:rsidRPr="00D31186">
        <w:rPr>
          <w:rFonts w:ascii="Tahoma" w:hAnsi="Tahoma" w:cs="Tahoma"/>
          <w:sz w:val="20"/>
        </w:rPr>
        <w:t>o</w:t>
      </w:r>
      <w:r w:rsidR="00465C63" w:rsidRPr="00D31186">
        <w:rPr>
          <w:rFonts w:ascii="Tahoma" w:hAnsi="Tahoma" w:cs="Tahoma"/>
          <w:sz w:val="20"/>
        </w:rPr>
        <w:t xml:space="preserve"> </w:t>
      </w:r>
      <w:r w:rsidR="00F53C5D" w:rsidRPr="00D31186">
        <w:t>Ministério da Previdência Social (</w:t>
      </w:r>
      <w:r w:rsidR="003F0648" w:rsidRPr="00D31186">
        <w:rPr>
          <w:rFonts w:ascii="Tahoma" w:hAnsi="Tahoma" w:cs="Tahoma"/>
          <w:sz w:val="20"/>
        </w:rPr>
        <w:t>MPS</w:t>
      </w:r>
      <w:r w:rsidR="00F53C5D" w:rsidRPr="00D31186">
        <w:rPr>
          <w:rFonts w:ascii="Tahoma" w:hAnsi="Tahoma" w:cs="Tahoma"/>
          <w:sz w:val="20"/>
        </w:rPr>
        <w:t>)</w:t>
      </w:r>
      <w:r w:rsidR="00465C63" w:rsidRPr="00D31186">
        <w:rPr>
          <w:rFonts w:ascii="Tahoma" w:hAnsi="Tahoma" w:cs="Tahoma"/>
          <w:sz w:val="20"/>
        </w:rPr>
        <w:t xml:space="preserve"> e em produtos que busquem a rentabilidade necessária, visando</w:t>
      </w:r>
      <w:r w:rsidR="0095399B">
        <w:rPr>
          <w:rFonts w:ascii="Tahoma" w:hAnsi="Tahoma" w:cs="Tahoma"/>
          <w:sz w:val="20"/>
        </w:rPr>
        <w:t>,</w:t>
      </w:r>
      <w:r w:rsidR="00465C63" w:rsidRPr="00D31186">
        <w:rPr>
          <w:rFonts w:ascii="Tahoma" w:hAnsi="Tahoma" w:cs="Tahoma"/>
          <w:sz w:val="20"/>
        </w:rPr>
        <w:t xml:space="preserve"> em primeiro lugar</w:t>
      </w:r>
      <w:r w:rsidR="0095399B">
        <w:rPr>
          <w:rFonts w:ascii="Tahoma" w:hAnsi="Tahoma" w:cs="Tahoma"/>
          <w:sz w:val="20"/>
        </w:rPr>
        <w:t>,</w:t>
      </w:r>
      <w:r w:rsidR="00465C63" w:rsidRPr="00D31186">
        <w:rPr>
          <w:rFonts w:ascii="Tahoma" w:hAnsi="Tahoma" w:cs="Tahoma"/>
          <w:sz w:val="20"/>
        </w:rPr>
        <w:t xml:space="preserve"> a proteção do patrimônio, transparência, liquidez e a rentabilidade.</w:t>
      </w:r>
    </w:p>
    <w:p w14:paraId="7ACF4F78" w14:textId="4D9BB460" w:rsidR="00465C63" w:rsidRPr="00D31186" w:rsidRDefault="0034319A" w:rsidP="00AD12FB">
      <w:pPr>
        <w:spacing w:after="120"/>
        <w:ind w:firstLine="709"/>
        <w:jc w:val="both"/>
        <w:rPr>
          <w:rFonts w:ascii="Tahoma" w:hAnsi="Tahoma" w:cs="Tahoma"/>
          <w:sz w:val="20"/>
        </w:rPr>
      </w:pPr>
      <w:r w:rsidRPr="00D31186">
        <w:rPr>
          <w:rFonts w:ascii="Tahoma" w:hAnsi="Tahoma" w:cs="Tahoma"/>
          <w:noProof/>
          <w:sz w:val="20"/>
        </w:rPr>
        <mc:AlternateContent>
          <mc:Choice Requires="wps">
            <w:drawing>
              <wp:anchor distT="0" distB="0" distL="114300" distR="114300" simplePos="0" relativeHeight="251670528" behindDoc="0" locked="0" layoutInCell="1" allowOverlap="1" wp14:anchorId="1BDD567B" wp14:editId="12364CE3">
                <wp:simplePos x="0" y="0"/>
                <wp:positionH relativeFrom="column">
                  <wp:posOffset>3381447</wp:posOffset>
                </wp:positionH>
                <wp:positionV relativeFrom="paragraph">
                  <wp:posOffset>1206069</wp:posOffset>
                </wp:positionV>
                <wp:extent cx="2374900" cy="0"/>
                <wp:effectExtent l="0" t="76200" r="25400" b="95250"/>
                <wp:wrapNone/>
                <wp:docPr id="12" name="Conector de Seta Reta 12"/>
                <wp:cNvGraphicFramePr/>
                <a:graphic xmlns:a="http://schemas.openxmlformats.org/drawingml/2006/main">
                  <a:graphicData uri="http://schemas.microsoft.com/office/word/2010/wordprocessingShape">
                    <wps:wsp>
                      <wps:cNvCnPr/>
                      <wps:spPr>
                        <a:xfrm>
                          <a:off x="0" y="0"/>
                          <a:ext cx="2374900" cy="0"/>
                        </a:xfrm>
                        <a:prstGeom prst="straightConnector1">
                          <a:avLst/>
                        </a:prstGeom>
                        <a:ln w="3175">
                          <a:solidFill>
                            <a:srgbClr val="002060"/>
                          </a:solidFill>
                          <a:prstDash val="lgDashDot"/>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C46B430" id="Conector de Seta Reta 12" o:spid="_x0000_s1026" type="#_x0000_t32" style="position:absolute;margin-left:266.25pt;margin-top:94.95pt;width:187pt;height:0;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" strokecolor="#002060" strokeweight=".25pt">
                <v:stroke dashstyle="longDashDot" endarrow="block"/>
              </v:shape>
            </w:pict>
          </mc:Fallback>
        </mc:AlternateContent>
      </w:r>
      <w:r w:rsidR="00092B14" w:rsidRPr="00D31186">
        <w:rPr>
          <w:rFonts w:ascii="Tahoma" w:hAnsi="Tahoma" w:cs="Tahoma"/>
          <w:noProof/>
          <w:sz w:val="20"/>
        </w:rPr>
        <mc:AlternateContent>
          <mc:Choice Requires="wps">
            <w:drawing>
              <wp:anchor distT="0" distB="0" distL="114300" distR="114300" simplePos="0" relativeHeight="251663360" behindDoc="0" locked="0" layoutInCell="1" allowOverlap="1" wp14:anchorId="0CAE3670" wp14:editId="2FEA6A20">
                <wp:simplePos x="0" y="0"/>
                <wp:positionH relativeFrom="margin">
                  <wp:align>right</wp:align>
                </wp:positionH>
                <wp:positionV relativeFrom="paragraph">
                  <wp:posOffset>51435</wp:posOffset>
                </wp:positionV>
                <wp:extent cx="2448560" cy="1152525"/>
                <wp:effectExtent l="0" t="0" r="0" b="9525"/>
                <wp:wrapSquare wrapText="bothSides"/>
                <wp:docPr id="1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8560" cy="11529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8398F4" w14:textId="77777777" w:rsidR="007A0B11" w:rsidRPr="00EC25E7" w:rsidRDefault="007A0B11" w:rsidP="00CC0E8C">
                            <w:pPr>
                              <w:spacing w:after="0" w:line="240" w:lineRule="auto"/>
                              <w:rPr>
                                <w:rFonts w:ascii="Tahoma" w:hAnsi="Tahoma" w:cs="Tahoma"/>
                                <w:b/>
                                <w:color w:val="BFBFBF" w:themeColor="background1" w:themeShade="BF"/>
                                <w:sz w:val="8"/>
                                <w:szCs w:val="8"/>
                              </w:rPr>
                            </w:pPr>
                          </w:p>
                          <w:p w14:paraId="55380196" w14:textId="77777777" w:rsidR="007A0B11" w:rsidRPr="00DB2570" w:rsidRDefault="007A0B11" w:rsidP="00DB2570">
                            <w:pPr>
                              <w:spacing w:after="0"/>
                              <w:jc w:val="both"/>
                              <w:rPr>
                                <w:rFonts w:ascii="Bradley Hand ITC" w:hAnsi="Bradley Hand ITC"/>
                                <w:b/>
                                <w:color w:val="002060"/>
                                <w:sz w:val="24"/>
                                <w:szCs w:val="24"/>
                              </w:rPr>
                            </w:pPr>
                            <w:r w:rsidRPr="00DB2570">
                              <w:rPr>
                                <w:rFonts w:ascii="Bradley Hand ITC" w:hAnsi="Bradley Hand ITC"/>
                                <w:b/>
                                <w:color w:val="002060"/>
                                <w:sz w:val="24"/>
                                <w:szCs w:val="24"/>
                              </w:rPr>
                              <w:t xml:space="preserve">ELABORAR </w:t>
                            </w:r>
                          </w:p>
                          <w:p w14:paraId="418FA4BA" w14:textId="2166D64E" w:rsidR="007A0B11" w:rsidRPr="00EC25E7" w:rsidRDefault="007A0B11" w:rsidP="00891784">
                            <w:pPr>
                              <w:spacing w:after="0"/>
                              <w:jc w:val="both"/>
                              <w:rPr>
                                <w:rFonts w:ascii="Tahoma" w:hAnsi="Tahoma" w:cs="Tahoma"/>
                                <w:color w:val="BFBFBF" w:themeColor="background1" w:themeShade="BF"/>
                                <w:sz w:val="18"/>
                                <w:szCs w:val="18"/>
                              </w:rPr>
                            </w:pPr>
                            <w:r w:rsidRPr="00DB2570">
                              <w:rPr>
                                <w:rFonts w:ascii="Bradley Hand ITC" w:hAnsi="Bradley Hand ITC"/>
                                <w:bCs/>
                                <w:color w:val="002060"/>
                              </w:rPr>
                              <w:t>Relatórios semestrais de contro</w:t>
                            </w:r>
                            <w:r>
                              <w:rPr>
                                <w:rFonts w:ascii="Bradley Hand ITC" w:hAnsi="Bradley Hand ITC"/>
                                <w:bCs/>
                                <w:color w:val="002060"/>
                              </w:rPr>
                              <w:t>l</w:t>
                            </w:r>
                            <w:r w:rsidRPr="00DB2570">
                              <w:rPr>
                                <w:rFonts w:ascii="Bradley Hand ITC" w:hAnsi="Bradley Hand ITC"/>
                                <w:bCs/>
                                <w:color w:val="002060"/>
                              </w:rPr>
                              <w:t xml:space="preserve">e de gestão de recursos </w:t>
                            </w:r>
                            <w:r w:rsidRPr="00D31186">
                              <w:rPr>
                                <w:rFonts w:ascii="Bradley Hand ITC" w:hAnsi="Bradley Hand ITC"/>
                                <w:bCs/>
                                <w:color w:val="002060"/>
                              </w:rPr>
                              <w:t>versus PI, conforme art. 129º da Portaria M</w:t>
                            </w:r>
                            <w:r w:rsidR="00D31186" w:rsidRPr="00D31186">
                              <w:rPr>
                                <w:rFonts w:ascii="Bradley Hand ITC" w:hAnsi="Bradley Hand ITC"/>
                                <w:bCs/>
                                <w:color w:val="002060"/>
                              </w:rPr>
                              <w:t>TP</w:t>
                            </w:r>
                            <w:r w:rsidRPr="00D31186">
                              <w:rPr>
                                <w:rFonts w:ascii="Bradley Hand ITC" w:hAnsi="Bradley Hand ITC"/>
                                <w:bCs/>
                                <w:color w:val="002060"/>
                              </w:rPr>
                              <w:t xml:space="preserve"> nº 1.467/2022...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AE3670" id="Text Box 6" o:spid="_x0000_s1029" type="#_x0000_t202" style="position:absolute;left:0;text-align:left;margin-left:141.6pt;margin-top:4.05pt;width:192.8pt;height:90.75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" filled="f" stroked="f">
                <v:textbox>
                  <w:txbxContent>
                    <w:p w14:paraId="468398F4" w14:textId="77777777" w:rsidR="007A0B11" w:rsidRPr="00EC25E7" w:rsidRDefault="007A0B11" w:rsidP="00CC0E8C">
                      <w:pPr>
                        <w:spacing w:after="0" w:line="240" w:lineRule="auto"/>
                        <w:rPr>
                          <w:rFonts w:ascii="Tahoma" w:hAnsi="Tahoma" w:cs="Tahoma"/>
                          <w:b/>
                          <w:color w:val="BFBFBF" w:themeColor="background1" w:themeShade="BF"/>
                          <w:sz w:val="8"/>
                          <w:szCs w:val="8"/>
                        </w:rPr>
                      </w:pPr>
                    </w:p>
                    <w:p w14:paraId="55380196" w14:textId="77777777" w:rsidR="007A0B11" w:rsidRPr="00DB2570" w:rsidRDefault="007A0B11" w:rsidP="00DB2570">
                      <w:pPr>
                        <w:spacing w:after="0"/>
                        <w:jc w:val="both"/>
                        <w:rPr>
                          <w:rFonts w:ascii="Bradley Hand ITC" w:hAnsi="Bradley Hand ITC"/>
                          <w:b/>
                          <w:color w:val="002060"/>
                          <w:sz w:val="24"/>
                          <w:szCs w:val="24"/>
                        </w:rPr>
                      </w:pPr>
                      <w:r w:rsidRPr="00DB2570">
                        <w:rPr>
                          <w:rFonts w:ascii="Bradley Hand ITC" w:hAnsi="Bradley Hand ITC"/>
                          <w:b/>
                          <w:color w:val="002060"/>
                          <w:sz w:val="24"/>
                          <w:szCs w:val="24"/>
                        </w:rPr>
                        <w:t xml:space="preserve">ELABORAR </w:t>
                      </w:r>
                    </w:p>
                    <w:p w14:paraId="418FA4BA" w14:textId="2166D64E" w:rsidR="007A0B11" w:rsidRPr="00EC25E7" w:rsidRDefault="007A0B11" w:rsidP="00891784">
                      <w:pPr>
                        <w:spacing w:after="0"/>
                        <w:jc w:val="both"/>
                        <w:rPr>
                          <w:rFonts w:ascii="Tahoma" w:hAnsi="Tahoma" w:cs="Tahoma"/>
                          <w:color w:val="BFBFBF" w:themeColor="background1" w:themeShade="BF"/>
                          <w:sz w:val="18"/>
                          <w:szCs w:val="18"/>
                        </w:rPr>
                      </w:pPr>
                      <w:r w:rsidRPr="00DB2570">
                        <w:rPr>
                          <w:rFonts w:ascii="Bradley Hand ITC" w:hAnsi="Bradley Hand ITC"/>
                          <w:bCs/>
                          <w:color w:val="002060"/>
                        </w:rPr>
                        <w:t>Relatórios semestrais de contro</w:t>
                      </w:r>
                      <w:r>
                        <w:rPr>
                          <w:rFonts w:ascii="Bradley Hand ITC" w:hAnsi="Bradley Hand ITC"/>
                          <w:bCs/>
                          <w:color w:val="002060"/>
                        </w:rPr>
                        <w:t>l</w:t>
                      </w:r>
                      <w:r w:rsidRPr="00DB2570">
                        <w:rPr>
                          <w:rFonts w:ascii="Bradley Hand ITC" w:hAnsi="Bradley Hand ITC"/>
                          <w:bCs/>
                          <w:color w:val="002060"/>
                        </w:rPr>
                        <w:t xml:space="preserve">e de gestão de recursos </w:t>
                      </w:r>
                      <w:r w:rsidRPr="00D31186">
                        <w:rPr>
                          <w:rFonts w:ascii="Bradley Hand ITC" w:hAnsi="Bradley Hand ITC"/>
                          <w:bCs/>
                          <w:color w:val="002060"/>
                        </w:rPr>
                        <w:t>versus PI, conforme art. 129º da Portaria M</w:t>
                      </w:r>
                      <w:r w:rsidR="00D31186" w:rsidRPr="00D31186">
                        <w:rPr>
                          <w:rFonts w:ascii="Bradley Hand ITC" w:hAnsi="Bradley Hand ITC"/>
                          <w:bCs/>
                          <w:color w:val="002060"/>
                        </w:rPr>
                        <w:t>TP</w:t>
                      </w:r>
                      <w:r w:rsidRPr="00D31186">
                        <w:rPr>
                          <w:rFonts w:ascii="Bradley Hand ITC" w:hAnsi="Bradley Hand ITC"/>
                          <w:bCs/>
                          <w:color w:val="002060"/>
                        </w:rPr>
                        <w:t xml:space="preserve"> nº 1.467/2022...</w:t>
                      </w:r>
                    </w:p>
                  </w:txbxContent>
                </v:textbox>
                <w10:wrap type="square" anchorx="margin"/>
              </v:shape>
            </w:pict>
          </mc:Fallback>
        </mc:AlternateContent>
      </w:r>
      <w:r w:rsidR="00465C63" w:rsidRPr="00D31186">
        <w:rPr>
          <w:rFonts w:ascii="Tahoma" w:hAnsi="Tahoma" w:cs="Tahoma"/>
          <w:sz w:val="20"/>
        </w:rPr>
        <w:t xml:space="preserve">O </w:t>
      </w:r>
      <w:r w:rsidR="00616F1F" w:rsidRPr="00D31186">
        <w:rPr>
          <w:rFonts w:ascii="Tahoma" w:hAnsi="Tahoma" w:cs="Tahoma"/>
          <w:b/>
          <w:noProof/>
          <w:sz w:val="20"/>
        </w:rPr>
        <w:fldChar w:fldCharType="begin"/>
      </w:r>
      <w:r w:rsidR="00616F1F" w:rsidRPr="00D31186">
        <w:rPr>
          <w:rFonts w:ascii="Tahoma" w:hAnsi="Tahoma" w:cs="Tahoma"/>
          <w:b/>
          <w:noProof/>
          <w:sz w:val="20"/>
        </w:rPr>
        <w:instrText xml:space="preserve"> MERGEFIELD NOME_DO_FUNDO </w:instrText>
      </w:r>
      <w:r w:rsidR="00616F1F" w:rsidRPr="00D31186">
        <w:rPr>
          <w:rFonts w:ascii="Tahoma" w:hAnsi="Tahoma" w:cs="Tahoma"/>
          <w:b/>
          <w:noProof/>
          <w:sz w:val="20"/>
        </w:rPr>
        <w:fldChar w:fldCharType="separate"/>
      </w:r>
      <w:r w:rsidR="00A14265" w:rsidRPr="00BC514D">
        <w:rPr>
          <w:rFonts w:ascii="Tahoma" w:hAnsi="Tahoma" w:cs="Tahoma"/>
          <w:b/>
          <w:noProof/>
          <w:sz w:val="20"/>
        </w:rPr>
        <w:t>FUNDO DE ASSISTÊNCIA E PREVIDÊNCIA DOS SERVIDORES ESTATUTÁRIOS DO MUNICÍPIO DE TRIUNFO – FAPETRI</w:t>
      </w:r>
      <w:r w:rsidR="00616F1F" w:rsidRPr="00D31186">
        <w:rPr>
          <w:rFonts w:ascii="Tahoma" w:hAnsi="Tahoma" w:cs="Tahoma"/>
          <w:b/>
          <w:noProof/>
          <w:sz w:val="20"/>
        </w:rPr>
        <w:fldChar w:fldCharType="end"/>
      </w:r>
      <w:r w:rsidR="00465C63" w:rsidRPr="00D31186">
        <w:rPr>
          <w:rFonts w:ascii="Tahoma" w:hAnsi="Tahoma" w:cs="Tahoma"/>
          <w:b/>
          <w:sz w:val="20"/>
        </w:rPr>
        <w:t xml:space="preserve"> </w:t>
      </w:r>
      <w:r w:rsidR="00465C63" w:rsidRPr="00D31186">
        <w:rPr>
          <w:rFonts w:ascii="Tahoma" w:hAnsi="Tahoma" w:cs="Tahoma"/>
          <w:sz w:val="20"/>
        </w:rPr>
        <w:t>deverá observar as obrigatoriedades da P</w:t>
      </w:r>
      <w:r>
        <w:rPr>
          <w:rFonts w:ascii="Tahoma" w:hAnsi="Tahoma" w:cs="Tahoma"/>
          <w:sz w:val="20"/>
        </w:rPr>
        <w:t>ortaria</w:t>
      </w:r>
      <w:r w:rsidR="00465C63" w:rsidRPr="00D31186">
        <w:rPr>
          <w:rFonts w:ascii="Tahoma" w:hAnsi="Tahoma" w:cs="Tahoma"/>
          <w:sz w:val="20"/>
        </w:rPr>
        <w:t xml:space="preserve"> </w:t>
      </w:r>
      <w:r w:rsidR="00F53C5D" w:rsidRPr="00D31186">
        <w:rPr>
          <w:rFonts w:ascii="Tahoma" w:hAnsi="Tahoma" w:cs="Tahoma"/>
          <w:sz w:val="20"/>
        </w:rPr>
        <w:t>M</w:t>
      </w:r>
      <w:r w:rsidR="00D31186" w:rsidRPr="00D31186">
        <w:rPr>
          <w:rFonts w:ascii="Tahoma" w:hAnsi="Tahoma" w:cs="Tahoma"/>
          <w:sz w:val="20"/>
        </w:rPr>
        <w:t>TP</w:t>
      </w:r>
      <w:r w:rsidR="00F53C5D" w:rsidRPr="00D31186">
        <w:rPr>
          <w:rFonts w:ascii="Tahoma" w:hAnsi="Tahoma" w:cs="Tahoma"/>
          <w:sz w:val="20"/>
        </w:rPr>
        <w:t xml:space="preserve"> </w:t>
      </w:r>
      <w:r w:rsidR="00465C63" w:rsidRPr="00D31186">
        <w:rPr>
          <w:rFonts w:ascii="Tahoma" w:hAnsi="Tahoma" w:cs="Tahoma"/>
          <w:sz w:val="20"/>
        </w:rPr>
        <w:t xml:space="preserve">Nº </w:t>
      </w:r>
      <w:r w:rsidR="00DB2570" w:rsidRPr="00D31186">
        <w:rPr>
          <w:rFonts w:ascii="Tahoma" w:hAnsi="Tahoma" w:cs="Tahoma"/>
          <w:sz w:val="20"/>
        </w:rPr>
        <w:t>1.467</w:t>
      </w:r>
      <w:r w:rsidR="00F53C5D" w:rsidRPr="00D31186">
        <w:rPr>
          <w:rFonts w:ascii="Tahoma" w:hAnsi="Tahoma" w:cs="Tahoma"/>
          <w:sz w:val="20"/>
        </w:rPr>
        <w:t>/2022</w:t>
      </w:r>
      <w:r w:rsidR="00465C63" w:rsidRPr="00D31186">
        <w:rPr>
          <w:rFonts w:ascii="Tahoma" w:hAnsi="Tahoma" w:cs="Tahoma"/>
          <w:sz w:val="20"/>
        </w:rPr>
        <w:t xml:space="preserve"> na gestão dos recursos, destacando a OBRIGAÇÃO de realizar AVALIAÇÃO DO DESEMPENHO DAS APLICAÇÕES. Devendo também, ser observados os prazos </w:t>
      </w:r>
      <w:r w:rsidR="00465C63" w:rsidRPr="002B3FE6">
        <w:rPr>
          <w:rFonts w:ascii="Tahoma" w:hAnsi="Tahoma" w:cs="Tahoma"/>
          <w:sz w:val="20"/>
        </w:rPr>
        <w:t xml:space="preserve">estipulados </w:t>
      </w:r>
      <w:r w:rsidR="0095399B">
        <w:rPr>
          <w:rFonts w:ascii="Tahoma" w:hAnsi="Tahoma" w:cs="Tahoma"/>
          <w:sz w:val="20"/>
        </w:rPr>
        <w:t xml:space="preserve">pela norma, </w:t>
      </w:r>
      <w:r w:rsidR="00465C63" w:rsidRPr="002B3FE6">
        <w:rPr>
          <w:rFonts w:ascii="Tahoma" w:hAnsi="Tahoma" w:cs="Tahoma"/>
          <w:sz w:val="20"/>
        </w:rPr>
        <w:t xml:space="preserve">que dispõe sobre DAIR, DPIN, </w:t>
      </w:r>
      <w:r w:rsidR="00F53C5D" w:rsidRPr="002B3FE6">
        <w:rPr>
          <w:rFonts w:ascii="Tahoma" w:hAnsi="Tahoma" w:cs="Tahoma"/>
          <w:sz w:val="20"/>
        </w:rPr>
        <w:t>c</w:t>
      </w:r>
      <w:r w:rsidR="00465C63" w:rsidRPr="002B3FE6">
        <w:rPr>
          <w:rFonts w:ascii="Tahoma" w:hAnsi="Tahoma" w:cs="Tahoma"/>
          <w:sz w:val="20"/>
        </w:rPr>
        <w:t>redenciamento, DRAA e DIPR.</w:t>
      </w:r>
    </w:p>
    <w:p w14:paraId="7E28ADF8" w14:textId="77777777" w:rsidR="00465C63" w:rsidRPr="00D31186" w:rsidRDefault="00465C63" w:rsidP="00EC5FD6">
      <w:pPr>
        <w:pStyle w:val="Subttulo"/>
        <w:rPr>
          <w:sz w:val="20"/>
        </w:rPr>
      </w:pPr>
      <w:bookmarkStart w:id="9" w:name="_Toc181542561"/>
      <w:r w:rsidRPr="00D31186">
        <w:rPr>
          <w:sz w:val="20"/>
        </w:rPr>
        <w:t>Dos Serviços Especializados</w:t>
      </w:r>
      <w:bookmarkEnd w:id="9"/>
    </w:p>
    <w:p w14:paraId="79A6FB33" w14:textId="55B32AC3" w:rsidR="00465C63" w:rsidRPr="00E8601E" w:rsidRDefault="00465C63" w:rsidP="00AD12FB">
      <w:pPr>
        <w:spacing w:after="120"/>
        <w:ind w:firstLine="709"/>
        <w:jc w:val="both"/>
        <w:rPr>
          <w:rFonts w:ascii="Tahoma" w:hAnsi="Tahoma" w:cs="Tahoma"/>
          <w:sz w:val="20"/>
        </w:rPr>
      </w:pPr>
      <w:r w:rsidRPr="00D31186">
        <w:rPr>
          <w:rFonts w:ascii="Tahoma" w:hAnsi="Tahoma" w:cs="Tahoma"/>
          <w:sz w:val="20"/>
        </w:rPr>
        <w:t>A contratação dos serviços de consultoria de valores mobiliários deverá levar em consideração critérios pré-definidos. Sublinham-se aspectos como: experiência, especialização e idoneidade da empresa, bem como</w:t>
      </w:r>
      <w:r w:rsidR="0095399B">
        <w:rPr>
          <w:rFonts w:ascii="Tahoma" w:hAnsi="Tahoma" w:cs="Tahoma"/>
          <w:sz w:val="20"/>
        </w:rPr>
        <w:t>,</w:t>
      </w:r>
      <w:r w:rsidRPr="00D31186">
        <w:rPr>
          <w:rFonts w:ascii="Tahoma" w:hAnsi="Tahoma" w:cs="Tahoma"/>
          <w:sz w:val="20"/>
        </w:rPr>
        <w:t xml:space="preserve"> o custo e a qualidade da prestação de serviços e, ainda, de acordo com o art. </w:t>
      </w:r>
      <w:r w:rsidR="000A6F03" w:rsidRPr="00D31186">
        <w:rPr>
          <w:rFonts w:ascii="Tahoma" w:hAnsi="Tahoma" w:cs="Tahoma"/>
          <w:sz w:val="20"/>
        </w:rPr>
        <w:t>24</w:t>
      </w:r>
      <w:r w:rsidRPr="00D31186">
        <w:rPr>
          <w:rFonts w:ascii="Tahoma" w:hAnsi="Tahoma" w:cs="Tahoma"/>
          <w:sz w:val="20"/>
        </w:rPr>
        <w:t xml:space="preserve"> da Resolução</w:t>
      </w:r>
      <w:r w:rsidR="00F23B5E" w:rsidRPr="00D31186">
        <w:rPr>
          <w:rFonts w:ascii="Tahoma" w:hAnsi="Tahoma" w:cs="Tahoma"/>
          <w:sz w:val="20"/>
        </w:rPr>
        <w:t xml:space="preserve"> CMN nº</w:t>
      </w:r>
      <w:r w:rsidRPr="00D31186">
        <w:rPr>
          <w:rFonts w:ascii="Tahoma" w:hAnsi="Tahoma" w:cs="Tahoma"/>
          <w:sz w:val="20"/>
        </w:rPr>
        <w:t xml:space="preserve"> </w:t>
      </w:r>
      <w:r w:rsidR="000A6F03" w:rsidRPr="00D31186">
        <w:rPr>
          <w:rFonts w:ascii="Tahoma" w:hAnsi="Tahoma" w:cs="Tahoma"/>
          <w:sz w:val="20"/>
        </w:rPr>
        <w:t>4.963/2021</w:t>
      </w:r>
      <w:r w:rsidRPr="00D31186">
        <w:rPr>
          <w:rFonts w:ascii="Tahoma" w:hAnsi="Tahoma" w:cs="Tahoma"/>
          <w:sz w:val="20"/>
        </w:rPr>
        <w:t>, estar devidamente habilitada na C</w:t>
      </w:r>
      <w:r w:rsidR="00F23B5E" w:rsidRPr="00D31186">
        <w:rPr>
          <w:rFonts w:ascii="Tahoma" w:hAnsi="Tahoma" w:cs="Tahoma"/>
          <w:sz w:val="20"/>
        </w:rPr>
        <w:t>omissão de Valores Mobiliários (C</w:t>
      </w:r>
      <w:r w:rsidRPr="00D31186">
        <w:rPr>
          <w:rFonts w:ascii="Tahoma" w:hAnsi="Tahoma" w:cs="Tahoma"/>
          <w:sz w:val="20"/>
        </w:rPr>
        <w:t>VM</w:t>
      </w:r>
      <w:r w:rsidR="00F23B5E" w:rsidRPr="00D31186">
        <w:rPr>
          <w:rFonts w:ascii="Tahoma" w:hAnsi="Tahoma" w:cs="Tahoma"/>
          <w:sz w:val="20"/>
        </w:rPr>
        <w:t>)</w:t>
      </w:r>
      <w:r w:rsidRPr="00D31186">
        <w:rPr>
          <w:rFonts w:ascii="Tahoma" w:hAnsi="Tahoma" w:cs="Tahoma"/>
          <w:sz w:val="20"/>
        </w:rPr>
        <w:t xml:space="preserve"> como Consultora de Valores Mobiliários. É de fundamental importância que a empresa habilitada na CVM como Consultora de Valores Mobiliários não seja ao mesmo tempo também cadastrada na CVM como Prestadora de Serviços de Administração de Carteiras e n</w:t>
      </w:r>
      <w:r w:rsidR="00172E4E" w:rsidRPr="00D31186">
        <w:rPr>
          <w:rFonts w:ascii="Tahoma" w:hAnsi="Tahoma" w:cs="Tahoma"/>
          <w:sz w:val="20"/>
        </w:rPr>
        <w:t>ão possua ligação com empresa de</w:t>
      </w:r>
      <w:r w:rsidRPr="00D31186">
        <w:rPr>
          <w:rFonts w:ascii="Tahoma" w:hAnsi="Tahoma" w:cs="Tahoma"/>
          <w:sz w:val="20"/>
        </w:rPr>
        <w:t xml:space="preserve"> Agente Autônomo – Pessoa Jurídica.</w:t>
      </w:r>
    </w:p>
    <w:p w14:paraId="15FFDA54" w14:textId="77777777" w:rsidR="00465C63" w:rsidRPr="00E8601E" w:rsidRDefault="00465C63" w:rsidP="00A50E9C">
      <w:pPr>
        <w:spacing w:after="120"/>
        <w:jc w:val="both"/>
        <w:rPr>
          <w:rStyle w:val="Ttulo1Char"/>
          <w:sz w:val="22"/>
        </w:rPr>
      </w:pPr>
      <w:r w:rsidRPr="00E8601E">
        <w:rPr>
          <w:rStyle w:val="Ttulo1Char"/>
          <w:sz w:val="22"/>
        </w:rPr>
        <w:br w:type="page"/>
      </w:r>
    </w:p>
    <w:bookmarkStart w:id="10" w:name="_Toc181542562"/>
    <w:bookmarkStart w:id="11" w:name="_Hlk149471682"/>
    <w:p w14:paraId="1367734D" w14:textId="7DBEC0DF" w:rsidR="00465C63" w:rsidRPr="00D31186" w:rsidRDefault="00AD12FB" w:rsidP="00EC5FD6">
      <w:pPr>
        <w:spacing w:after="120"/>
        <w:jc w:val="both"/>
        <w:outlineLvl w:val="0"/>
        <w:rPr>
          <w:sz w:val="20"/>
        </w:rPr>
      </w:pPr>
      <w:r w:rsidRPr="00D31186">
        <w:object w:dxaOrig="2425" w:dyaOrig="2598" w14:anchorId="6258A4FF">
          <v:shape id="_x0000_i1056" type="#_x0000_t75" style="width:9.75pt;height:9pt" o:ole="">
            <v:imagedata r:id="rId11" o:title=""/>
          </v:shape>
          <o:OLEObject Type="Embed" ProgID="CorelDRAW.Graphic.13" ShapeID="_x0000_i1056" DrawAspect="Content" ObjectID="_1793685929" r:id="rId44"/>
        </w:object>
      </w:r>
      <w:r w:rsidR="00465C63" w:rsidRPr="00D31186">
        <w:rPr>
          <w:rStyle w:val="Ttulo1Char"/>
          <w:sz w:val="21"/>
          <w:szCs w:val="21"/>
        </w:rPr>
        <w:t>ASPECTOS LEGAIS DA RESOLUÇÃO CMN</w:t>
      </w:r>
      <w:r w:rsidR="00F23B5E" w:rsidRPr="00D31186">
        <w:rPr>
          <w:rStyle w:val="Ttulo1Char"/>
          <w:sz w:val="21"/>
          <w:szCs w:val="21"/>
        </w:rPr>
        <w:t xml:space="preserve"> Nº</w:t>
      </w:r>
      <w:r w:rsidR="00465C63" w:rsidRPr="00D31186">
        <w:rPr>
          <w:rStyle w:val="Ttulo1Char"/>
          <w:sz w:val="21"/>
          <w:szCs w:val="21"/>
        </w:rPr>
        <w:t xml:space="preserve"> </w:t>
      </w:r>
      <w:r w:rsidR="000A6F03" w:rsidRPr="00D31186">
        <w:rPr>
          <w:rStyle w:val="Ttulo1Char"/>
          <w:sz w:val="21"/>
          <w:szCs w:val="21"/>
        </w:rPr>
        <w:t>4.963/2021</w:t>
      </w:r>
      <w:r w:rsidR="00465C63" w:rsidRPr="00D31186">
        <w:rPr>
          <w:rFonts w:ascii="Tahoma" w:hAnsi="Tahoma" w:cs="Tahoma"/>
          <w:b/>
          <w:color w:val="002060"/>
          <w:szCs w:val="24"/>
        </w:rPr>
        <w:t xml:space="preserve"> </w:t>
      </w:r>
      <w:bookmarkEnd w:id="10"/>
      <w:r w:rsidR="00465C63" w:rsidRPr="00D31186">
        <w:rPr>
          <w:sz w:val="20"/>
        </w:rPr>
        <w:object w:dxaOrig="3163" w:dyaOrig="3187" w14:anchorId="329DE602">
          <v:shape id="_x0000_i1057" type="#_x0000_t75" style="width:18.75pt;height:18.75pt" o:ole="">
            <v:imagedata r:id="rId13" o:title=""/>
          </v:shape>
          <o:OLEObject Type="Embed" ProgID="CorelDRAW.Graphic.13" ShapeID="_x0000_i1057" DrawAspect="Content" ObjectID="_1793685930" r:id="rId45"/>
        </w:object>
      </w:r>
    </w:p>
    <w:p w14:paraId="02BF1FF3" w14:textId="77777777" w:rsidR="00465C63" w:rsidRPr="00D31186" w:rsidRDefault="00465C63" w:rsidP="00AD12FB">
      <w:pPr>
        <w:spacing w:after="120"/>
        <w:ind w:firstLine="709"/>
        <w:jc w:val="both"/>
        <w:rPr>
          <w:rFonts w:ascii="Tahoma" w:hAnsi="Tahoma" w:cs="Tahoma"/>
          <w:sz w:val="20"/>
        </w:rPr>
      </w:pPr>
    </w:p>
    <w:p w14:paraId="793971FC" w14:textId="7E400BA7" w:rsidR="00465C63" w:rsidRPr="00D31186" w:rsidRDefault="00465C63" w:rsidP="00EC5FD6">
      <w:pPr>
        <w:spacing w:after="120"/>
        <w:jc w:val="both"/>
        <w:rPr>
          <w:rFonts w:ascii="Tahoma" w:hAnsi="Tahoma" w:cs="Tahoma"/>
          <w:sz w:val="20"/>
        </w:rPr>
      </w:pPr>
      <w:r w:rsidRPr="00D31186">
        <w:rPr>
          <w:rFonts w:ascii="Tahoma" w:hAnsi="Tahoma" w:cs="Tahoma"/>
          <w:sz w:val="20"/>
        </w:rPr>
        <w:t xml:space="preserve">Resolução CMN </w:t>
      </w:r>
      <w:r w:rsidR="00F23B5E" w:rsidRPr="00D31186">
        <w:rPr>
          <w:rFonts w:ascii="Tahoma" w:hAnsi="Tahoma" w:cs="Tahoma"/>
          <w:sz w:val="20"/>
        </w:rPr>
        <w:t xml:space="preserve">nº </w:t>
      </w:r>
      <w:r w:rsidR="000A6F03" w:rsidRPr="00D31186">
        <w:rPr>
          <w:rFonts w:ascii="Tahoma" w:hAnsi="Tahoma" w:cs="Tahoma"/>
          <w:sz w:val="20"/>
        </w:rPr>
        <w:t>4.963</w:t>
      </w:r>
      <w:r w:rsidRPr="00D31186">
        <w:rPr>
          <w:rFonts w:ascii="Tahoma" w:hAnsi="Tahoma" w:cs="Tahoma"/>
          <w:sz w:val="20"/>
        </w:rPr>
        <w:t>/20</w:t>
      </w:r>
      <w:r w:rsidR="000A6F03" w:rsidRPr="00D31186">
        <w:rPr>
          <w:rFonts w:ascii="Tahoma" w:hAnsi="Tahoma" w:cs="Tahoma"/>
          <w:sz w:val="20"/>
        </w:rPr>
        <w:t>21</w:t>
      </w:r>
    </w:p>
    <w:p w14:paraId="2BD6C00B" w14:textId="77777777" w:rsidR="00465C63" w:rsidRPr="00D31186" w:rsidRDefault="00465C63" w:rsidP="00AD12FB">
      <w:pPr>
        <w:spacing w:after="120"/>
        <w:ind w:firstLine="709"/>
        <w:jc w:val="both"/>
        <w:rPr>
          <w:rFonts w:ascii="Tahoma" w:hAnsi="Tahoma" w:cs="Tahoma"/>
          <w:sz w:val="20"/>
        </w:rPr>
      </w:pPr>
    </w:p>
    <w:bookmarkEnd w:id="11"/>
    <w:p w14:paraId="08EB26E3" w14:textId="17093768" w:rsidR="00FA50ED" w:rsidRPr="00FA50ED" w:rsidRDefault="00FA50ED" w:rsidP="00AD12FB">
      <w:pPr>
        <w:spacing w:after="120"/>
        <w:ind w:firstLine="709"/>
        <w:jc w:val="both"/>
        <w:rPr>
          <w:rFonts w:ascii="Tahoma" w:hAnsi="Tahoma" w:cs="Tahoma"/>
          <w:sz w:val="20"/>
        </w:rPr>
      </w:pPr>
      <w:r w:rsidRPr="00D31186">
        <w:rPr>
          <w:rFonts w:ascii="Tahoma" w:hAnsi="Tahoma" w:cs="Tahoma"/>
          <w:sz w:val="20"/>
        </w:rPr>
        <w:t>Dispõe sobre as aplicações dos</w:t>
      </w:r>
      <w:r w:rsidRPr="00FA50ED">
        <w:rPr>
          <w:rFonts w:ascii="Tahoma" w:hAnsi="Tahoma" w:cs="Tahoma"/>
          <w:sz w:val="20"/>
        </w:rPr>
        <w:t xml:space="preserve"> recursos dos </w:t>
      </w:r>
      <w:r w:rsidR="00F23B5E">
        <w:rPr>
          <w:rFonts w:ascii="Tahoma" w:hAnsi="Tahoma" w:cs="Tahoma"/>
          <w:sz w:val="20"/>
        </w:rPr>
        <w:t>R</w:t>
      </w:r>
      <w:r w:rsidRPr="00FA50ED">
        <w:rPr>
          <w:rFonts w:ascii="Tahoma" w:hAnsi="Tahoma" w:cs="Tahoma"/>
          <w:sz w:val="20"/>
        </w:rPr>
        <w:t xml:space="preserve">egimes </w:t>
      </w:r>
      <w:r w:rsidR="00F23B5E">
        <w:rPr>
          <w:rFonts w:ascii="Tahoma" w:hAnsi="Tahoma" w:cs="Tahoma"/>
          <w:sz w:val="20"/>
        </w:rPr>
        <w:t>P</w:t>
      </w:r>
      <w:r w:rsidRPr="00FA50ED">
        <w:rPr>
          <w:rFonts w:ascii="Tahoma" w:hAnsi="Tahoma" w:cs="Tahoma"/>
          <w:sz w:val="20"/>
        </w:rPr>
        <w:t xml:space="preserve">róprios de </w:t>
      </w:r>
      <w:r w:rsidR="00F23B5E">
        <w:rPr>
          <w:rFonts w:ascii="Tahoma" w:hAnsi="Tahoma" w:cs="Tahoma"/>
          <w:sz w:val="20"/>
        </w:rPr>
        <w:t>P</w:t>
      </w:r>
      <w:r w:rsidRPr="00FA50ED">
        <w:rPr>
          <w:rFonts w:ascii="Tahoma" w:hAnsi="Tahoma" w:cs="Tahoma"/>
          <w:sz w:val="20"/>
        </w:rPr>
        <w:t xml:space="preserve">revidência </w:t>
      </w:r>
      <w:r w:rsidR="00F23B5E">
        <w:rPr>
          <w:rFonts w:ascii="Tahoma" w:hAnsi="Tahoma" w:cs="Tahoma"/>
          <w:sz w:val="20"/>
        </w:rPr>
        <w:t>S</w:t>
      </w:r>
      <w:r w:rsidRPr="00FA50ED">
        <w:rPr>
          <w:rFonts w:ascii="Tahoma" w:hAnsi="Tahoma" w:cs="Tahoma"/>
          <w:sz w:val="20"/>
        </w:rPr>
        <w:t>ocial instituídos pela União, pelos Estados, pelo Distrito Federal e pelos Municípios.</w:t>
      </w:r>
    </w:p>
    <w:p w14:paraId="403F7AA0" w14:textId="77777777" w:rsidR="00FA50ED" w:rsidRPr="00FA50ED" w:rsidRDefault="00FA50ED" w:rsidP="00AD12FB">
      <w:pPr>
        <w:spacing w:after="120"/>
        <w:ind w:firstLine="709"/>
        <w:jc w:val="both"/>
        <w:rPr>
          <w:rFonts w:ascii="Tahoma" w:hAnsi="Tahoma" w:cs="Tahoma"/>
          <w:sz w:val="20"/>
        </w:rPr>
      </w:pPr>
    </w:p>
    <w:p w14:paraId="5E5033C0" w14:textId="77777777" w:rsidR="00FA50ED" w:rsidRPr="00FA50ED" w:rsidRDefault="00FA50ED" w:rsidP="00AD12FB">
      <w:pPr>
        <w:spacing w:after="120"/>
        <w:ind w:firstLine="709"/>
        <w:jc w:val="both"/>
        <w:rPr>
          <w:rFonts w:ascii="Tahoma" w:hAnsi="Tahoma" w:cs="Tahoma"/>
          <w:i/>
          <w:iCs/>
          <w:sz w:val="20"/>
        </w:rPr>
      </w:pPr>
      <w:r w:rsidRPr="00FA50ED">
        <w:rPr>
          <w:rFonts w:ascii="Tahoma" w:hAnsi="Tahoma" w:cs="Tahoma"/>
          <w:i/>
          <w:iCs/>
          <w:sz w:val="20"/>
        </w:rPr>
        <w:t>Art. 1º Os recursos dos regimes próprios de previdência social instituídos pela União, pelos Estados, pelo Distrito Federal e pelos Municípios nos termos da Lei nº 9.717, de 27 de novembro de 1998, devem ser aplicados conforme as disposições desta Resolução.</w:t>
      </w:r>
    </w:p>
    <w:p w14:paraId="45DE2E9B" w14:textId="77777777" w:rsidR="00FA50ED" w:rsidRPr="00FA50ED" w:rsidRDefault="00FA50ED" w:rsidP="00AD12FB">
      <w:pPr>
        <w:spacing w:after="120"/>
        <w:ind w:firstLine="709"/>
        <w:jc w:val="both"/>
        <w:rPr>
          <w:rFonts w:ascii="Tahoma" w:hAnsi="Tahoma" w:cs="Tahoma"/>
          <w:sz w:val="20"/>
        </w:rPr>
      </w:pPr>
    </w:p>
    <w:p w14:paraId="77AED2B0" w14:textId="1238FB31" w:rsidR="00FA50ED" w:rsidRPr="00FA50ED" w:rsidRDefault="00FA50ED" w:rsidP="00EC5FD6">
      <w:pPr>
        <w:spacing w:after="120"/>
        <w:jc w:val="both"/>
        <w:rPr>
          <w:rFonts w:ascii="Tahoma" w:hAnsi="Tahoma" w:cs="Tahoma"/>
          <w:sz w:val="20"/>
        </w:rPr>
      </w:pPr>
      <w:r w:rsidRPr="00FA50ED">
        <w:rPr>
          <w:rFonts w:ascii="Tahoma" w:hAnsi="Tahoma" w:cs="Tahoma"/>
          <w:sz w:val="20"/>
        </w:rPr>
        <w:t>Limites percentuais para as aplicações dos RPPS</w:t>
      </w:r>
      <w:r w:rsidR="00487FC6">
        <w:rPr>
          <w:rFonts w:ascii="Tahoma" w:hAnsi="Tahoma" w:cs="Tahoma"/>
          <w:sz w:val="20"/>
        </w:rPr>
        <w:t xml:space="preserve"> por segmento:</w:t>
      </w:r>
    </w:p>
    <w:p w14:paraId="08D596BD" w14:textId="77777777" w:rsidR="00FA50ED" w:rsidRPr="00FA50ED" w:rsidRDefault="00FA50ED" w:rsidP="00AD12FB">
      <w:pPr>
        <w:spacing w:after="120"/>
        <w:ind w:firstLine="709"/>
        <w:jc w:val="both"/>
        <w:rPr>
          <w:rFonts w:ascii="Tahoma" w:hAnsi="Tahoma" w:cs="Tahoma"/>
          <w:sz w:val="20"/>
        </w:rPr>
      </w:pPr>
    </w:p>
    <w:p w14:paraId="05047A40" w14:textId="77777777" w:rsidR="00FA50ED" w:rsidRPr="00FA50ED" w:rsidRDefault="00FA50ED" w:rsidP="00AD12FB">
      <w:pPr>
        <w:spacing w:after="120"/>
        <w:ind w:firstLine="709"/>
        <w:jc w:val="both"/>
        <w:rPr>
          <w:rFonts w:ascii="Tahoma" w:hAnsi="Tahoma" w:cs="Tahoma"/>
          <w:sz w:val="20"/>
        </w:rPr>
      </w:pPr>
      <w:r w:rsidRPr="00FA50ED">
        <w:rPr>
          <w:rFonts w:ascii="Tahoma" w:hAnsi="Tahoma" w:cs="Tahoma"/>
          <w:sz w:val="20"/>
        </w:rPr>
        <w:t>Artigo 7º - RENDA FIXA</w:t>
      </w:r>
    </w:p>
    <w:p w14:paraId="17D29576" w14:textId="77777777" w:rsidR="00FA50ED" w:rsidRPr="00FA50ED" w:rsidRDefault="00FA50ED" w:rsidP="00AD12FB">
      <w:pPr>
        <w:spacing w:after="120"/>
        <w:ind w:firstLine="709"/>
        <w:jc w:val="both"/>
        <w:rPr>
          <w:rFonts w:ascii="Tahoma" w:hAnsi="Tahoma" w:cs="Tahoma"/>
          <w:sz w:val="20"/>
        </w:rPr>
      </w:pPr>
      <w:r w:rsidRPr="00FA50ED">
        <w:rPr>
          <w:rFonts w:ascii="Tahoma" w:hAnsi="Tahoma" w:cs="Tahoma"/>
          <w:sz w:val="20"/>
        </w:rPr>
        <w:t>Artigo 8º - RENDA VARIÁVEL</w:t>
      </w:r>
    </w:p>
    <w:p w14:paraId="04BC89CA" w14:textId="77777777" w:rsidR="00FA50ED" w:rsidRPr="00FA50ED" w:rsidRDefault="00FA50ED" w:rsidP="00AD12FB">
      <w:pPr>
        <w:spacing w:after="120"/>
        <w:ind w:firstLine="709"/>
        <w:jc w:val="both"/>
        <w:rPr>
          <w:rFonts w:ascii="Tahoma" w:hAnsi="Tahoma" w:cs="Tahoma"/>
          <w:sz w:val="20"/>
        </w:rPr>
      </w:pPr>
      <w:r w:rsidRPr="00FA50ED">
        <w:rPr>
          <w:rFonts w:ascii="Tahoma" w:hAnsi="Tahoma" w:cs="Tahoma"/>
          <w:sz w:val="20"/>
        </w:rPr>
        <w:t>Artigo 9º - INVESTIMENTO NO EXTERIOR</w:t>
      </w:r>
    </w:p>
    <w:p w14:paraId="4FFECD85" w14:textId="77777777" w:rsidR="00FA50ED" w:rsidRPr="00FA50ED" w:rsidRDefault="00FA50ED" w:rsidP="00AD12FB">
      <w:pPr>
        <w:spacing w:after="120"/>
        <w:ind w:firstLine="709"/>
        <w:jc w:val="both"/>
        <w:rPr>
          <w:rFonts w:ascii="Tahoma" w:hAnsi="Tahoma" w:cs="Tahoma"/>
          <w:sz w:val="20"/>
        </w:rPr>
      </w:pPr>
      <w:r w:rsidRPr="00FA50ED">
        <w:rPr>
          <w:rFonts w:ascii="Tahoma" w:hAnsi="Tahoma" w:cs="Tahoma"/>
          <w:sz w:val="20"/>
        </w:rPr>
        <w:t>Artigo 10º - INVESTIMENTOS ESTRUTURADOS</w:t>
      </w:r>
    </w:p>
    <w:p w14:paraId="7D1F3790" w14:textId="77777777" w:rsidR="00FA50ED" w:rsidRPr="00FA50ED" w:rsidRDefault="00FA50ED" w:rsidP="00AD12FB">
      <w:pPr>
        <w:spacing w:after="120"/>
        <w:ind w:firstLine="709"/>
        <w:jc w:val="both"/>
        <w:rPr>
          <w:rFonts w:ascii="Tahoma" w:hAnsi="Tahoma" w:cs="Tahoma"/>
          <w:sz w:val="20"/>
        </w:rPr>
      </w:pPr>
      <w:r w:rsidRPr="00FA50ED">
        <w:rPr>
          <w:rFonts w:ascii="Tahoma" w:hAnsi="Tahoma" w:cs="Tahoma"/>
          <w:sz w:val="20"/>
        </w:rPr>
        <w:t>Artigo 11º - FUNDOS IMOBILIÁRIOS</w:t>
      </w:r>
    </w:p>
    <w:p w14:paraId="31A37DC2" w14:textId="77777777" w:rsidR="00FA50ED" w:rsidRPr="00FA50ED" w:rsidRDefault="00FA50ED" w:rsidP="00AD12FB">
      <w:pPr>
        <w:spacing w:after="120"/>
        <w:ind w:firstLine="709"/>
        <w:jc w:val="both"/>
        <w:rPr>
          <w:rFonts w:ascii="Tahoma" w:hAnsi="Tahoma" w:cs="Tahoma"/>
          <w:sz w:val="20"/>
        </w:rPr>
      </w:pPr>
      <w:r w:rsidRPr="00FA50ED">
        <w:rPr>
          <w:rFonts w:ascii="Tahoma" w:hAnsi="Tahoma" w:cs="Tahoma"/>
          <w:sz w:val="20"/>
        </w:rPr>
        <w:t>Artigo 12º - EMPRÉSTIMOS CONSIGNADOS</w:t>
      </w:r>
    </w:p>
    <w:p w14:paraId="681C4B6C" w14:textId="77777777" w:rsidR="00FA50ED" w:rsidRPr="00FA50ED" w:rsidRDefault="00FA50ED" w:rsidP="00AD12FB">
      <w:pPr>
        <w:spacing w:after="120"/>
        <w:ind w:firstLine="709"/>
        <w:jc w:val="both"/>
        <w:rPr>
          <w:rFonts w:ascii="Tahoma" w:hAnsi="Tahoma" w:cs="Tahoma"/>
          <w:sz w:val="20"/>
        </w:rPr>
      </w:pPr>
    </w:p>
    <w:p w14:paraId="13F744A9" w14:textId="1CB5754D" w:rsidR="00357F66" w:rsidRPr="00891784" w:rsidRDefault="00FA50ED" w:rsidP="00AD12FB">
      <w:pPr>
        <w:spacing w:after="120"/>
        <w:ind w:firstLine="709"/>
        <w:jc w:val="both"/>
        <w:rPr>
          <w:rFonts w:ascii="Tahoma" w:hAnsi="Tahoma" w:cs="Tahoma"/>
          <w:b/>
          <w:bCs/>
          <w:i/>
          <w:iCs/>
          <w:sz w:val="16"/>
          <w:szCs w:val="18"/>
        </w:rPr>
      </w:pPr>
      <w:r w:rsidRPr="00D31186">
        <w:rPr>
          <w:rFonts w:ascii="Tahoma" w:hAnsi="Tahoma" w:cs="Tahoma"/>
          <w:sz w:val="20"/>
        </w:rPr>
        <w:t xml:space="preserve">A </w:t>
      </w:r>
      <w:r w:rsidR="007A0B11" w:rsidRPr="00D31186">
        <w:rPr>
          <w:rFonts w:ascii="Tahoma" w:hAnsi="Tahoma" w:cs="Tahoma"/>
          <w:sz w:val="20"/>
        </w:rPr>
        <w:t>Política de Investimentos</w:t>
      </w:r>
      <w:r w:rsidRPr="00D31186">
        <w:rPr>
          <w:rFonts w:ascii="Tahoma" w:hAnsi="Tahoma" w:cs="Tahoma"/>
          <w:sz w:val="20"/>
        </w:rPr>
        <w:t xml:space="preserve"> do</w:t>
      </w:r>
      <w:r w:rsidR="007E77FF">
        <w:rPr>
          <w:rFonts w:ascii="Tahoma" w:hAnsi="Tahoma" w:cs="Tahoma"/>
          <w:sz w:val="20"/>
        </w:rPr>
        <w:t xml:space="preserve"> </w:t>
      </w:r>
      <w:r w:rsidRPr="00D31186">
        <w:rPr>
          <w:rFonts w:ascii="Tahoma" w:hAnsi="Tahoma" w:cs="Tahoma"/>
          <w:sz w:val="20"/>
        </w:rPr>
        <w:t>RPPS  obedece ao que determina a legislação vigente, especialmente</w:t>
      </w:r>
      <w:r w:rsidR="0095399B">
        <w:rPr>
          <w:rFonts w:ascii="Tahoma" w:hAnsi="Tahoma" w:cs="Tahoma"/>
          <w:sz w:val="20"/>
        </w:rPr>
        <w:t>,</w:t>
      </w:r>
      <w:r w:rsidRPr="00D31186">
        <w:rPr>
          <w:rFonts w:ascii="Tahoma" w:hAnsi="Tahoma" w:cs="Tahoma"/>
          <w:sz w:val="20"/>
        </w:rPr>
        <w:t xml:space="preserve"> a Resolução do Conselho Monetário Nacional nº 4.963/2021 e</w:t>
      </w:r>
      <w:r w:rsidR="0095399B">
        <w:rPr>
          <w:rFonts w:ascii="Tahoma" w:hAnsi="Tahoma" w:cs="Tahoma"/>
          <w:sz w:val="20"/>
        </w:rPr>
        <w:t>,</w:t>
      </w:r>
      <w:r w:rsidRPr="00D31186">
        <w:rPr>
          <w:rFonts w:ascii="Tahoma" w:hAnsi="Tahoma" w:cs="Tahoma"/>
          <w:sz w:val="20"/>
        </w:rPr>
        <w:t xml:space="preserve"> da mesma forma atende as obrigações colocadas na Portaria M</w:t>
      </w:r>
      <w:r w:rsidR="00D31186" w:rsidRPr="00D31186">
        <w:rPr>
          <w:rFonts w:ascii="Tahoma" w:hAnsi="Tahoma" w:cs="Tahoma"/>
          <w:sz w:val="20"/>
        </w:rPr>
        <w:t>TP</w:t>
      </w:r>
      <w:r w:rsidR="00F23B5E" w:rsidRPr="00D31186">
        <w:rPr>
          <w:rFonts w:ascii="Tahoma" w:hAnsi="Tahoma" w:cs="Tahoma"/>
          <w:sz w:val="20"/>
        </w:rPr>
        <w:t xml:space="preserve"> nº</w:t>
      </w:r>
      <w:r w:rsidRPr="00D31186">
        <w:rPr>
          <w:rFonts w:ascii="Tahoma" w:hAnsi="Tahoma" w:cs="Tahoma"/>
          <w:sz w:val="20"/>
        </w:rPr>
        <w:t xml:space="preserve"> 1.467</w:t>
      </w:r>
      <w:r w:rsidR="00F23B5E" w:rsidRPr="00D31186">
        <w:rPr>
          <w:rFonts w:ascii="Tahoma" w:hAnsi="Tahoma" w:cs="Tahoma"/>
          <w:sz w:val="20"/>
        </w:rPr>
        <w:t>/2022</w:t>
      </w:r>
      <w:r w:rsidRPr="00D31186">
        <w:rPr>
          <w:rFonts w:ascii="Tahoma" w:hAnsi="Tahoma" w:cs="Tahoma"/>
          <w:sz w:val="20"/>
        </w:rPr>
        <w:t>.</w:t>
      </w:r>
    </w:p>
    <w:p w14:paraId="7C97B7C8" w14:textId="77777777" w:rsidR="00FA50ED" w:rsidRDefault="00FA50ED" w:rsidP="00A50E9C">
      <w:pPr>
        <w:spacing w:after="120"/>
        <w:jc w:val="both"/>
        <w:rPr>
          <w:rFonts w:ascii="Tahoma" w:hAnsi="Tahoma" w:cs="Tahoma"/>
          <w:b/>
          <w:bCs/>
          <w:i/>
          <w:iCs/>
          <w:sz w:val="16"/>
          <w:szCs w:val="18"/>
        </w:rPr>
      </w:pPr>
    </w:p>
    <w:p w14:paraId="36ABA980" w14:textId="726C7892" w:rsidR="00FA50ED" w:rsidRPr="00422F7A" w:rsidRDefault="00FA50ED" w:rsidP="00A50E9C">
      <w:pPr>
        <w:spacing w:after="120"/>
        <w:jc w:val="both"/>
        <w:rPr>
          <w:rFonts w:ascii="Tahoma" w:hAnsi="Tahoma" w:cs="Tahoma"/>
          <w:i/>
          <w:iCs/>
          <w:sz w:val="16"/>
          <w:szCs w:val="18"/>
        </w:rPr>
      </w:pPr>
      <w:r>
        <w:rPr>
          <w:rFonts w:ascii="Tahoma" w:hAnsi="Tahoma" w:cs="Tahoma"/>
          <w:b/>
          <w:bCs/>
          <w:i/>
          <w:iCs/>
          <w:sz w:val="16"/>
          <w:szCs w:val="18"/>
        </w:rPr>
        <w:t xml:space="preserve">Obs.: </w:t>
      </w:r>
      <w:r w:rsidRPr="00422F7A">
        <w:rPr>
          <w:rFonts w:ascii="Tahoma" w:hAnsi="Tahoma" w:cs="Tahoma"/>
          <w:i/>
          <w:iCs/>
          <w:sz w:val="16"/>
          <w:szCs w:val="18"/>
        </w:rPr>
        <w:t xml:space="preserve">Para informações mais detalhadas sobre a </w:t>
      </w:r>
      <w:r w:rsidR="00422F7A">
        <w:rPr>
          <w:rFonts w:ascii="Tahoma" w:hAnsi="Tahoma" w:cs="Tahoma"/>
          <w:i/>
          <w:iCs/>
          <w:sz w:val="16"/>
          <w:szCs w:val="18"/>
        </w:rPr>
        <w:t xml:space="preserve">CMN </w:t>
      </w:r>
      <w:r w:rsidR="00F23B5E">
        <w:rPr>
          <w:rFonts w:ascii="Tahoma" w:hAnsi="Tahoma" w:cs="Tahoma"/>
          <w:i/>
          <w:iCs/>
          <w:sz w:val="16"/>
          <w:szCs w:val="18"/>
        </w:rPr>
        <w:t xml:space="preserve">nº </w:t>
      </w:r>
      <w:r w:rsidR="00422F7A">
        <w:rPr>
          <w:rFonts w:ascii="Tahoma" w:hAnsi="Tahoma" w:cs="Tahoma"/>
          <w:i/>
          <w:iCs/>
          <w:sz w:val="16"/>
          <w:szCs w:val="18"/>
        </w:rPr>
        <w:t>4.963/2021 pode ser vis</w:t>
      </w:r>
      <w:r w:rsidR="00487FC6">
        <w:rPr>
          <w:rFonts w:ascii="Tahoma" w:hAnsi="Tahoma" w:cs="Tahoma"/>
          <w:i/>
          <w:iCs/>
          <w:sz w:val="16"/>
          <w:szCs w:val="18"/>
        </w:rPr>
        <w:t>t</w:t>
      </w:r>
      <w:r w:rsidR="00422F7A">
        <w:rPr>
          <w:rFonts w:ascii="Tahoma" w:hAnsi="Tahoma" w:cs="Tahoma"/>
          <w:i/>
          <w:iCs/>
          <w:sz w:val="16"/>
          <w:szCs w:val="18"/>
        </w:rPr>
        <w:t>a no link abaixo:</w:t>
      </w:r>
    </w:p>
    <w:p w14:paraId="464627F1" w14:textId="539FAEC8" w:rsidR="00422F7A" w:rsidRPr="00487FC6" w:rsidRDefault="00422F7A" w:rsidP="00A50E9C">
      <w:pPr>
        <w:spacing w:after="120"/>
        <w:jc w:val="both"/>
        <w:rPr>
          <w:rFonts w:ascii="Tahoma" w:hAnsi="Tahoma" w:cs="Tahoma"/>
          <w:i/>
          <w:iCs/>
          <w:color w:val="002060"/>
          <w:sz w:val="16"/>
          <w:szCs w:val="18"/>
        </w:rPr>
      </w:pPr>
      <w:r w:rsidRPr="00487FC6">
        <w:rPr>
          <w:rFonts w:ascii="Tahoma" w:hAnsi="Tahoma" w:cs="Tahoma"/>
          <w:i/>
          <w:iCs/>
          <w:color w:val="002060"/>
          <w:sz w:val="16"/>
          <w:szCs w:val="18"/>
        </w:rPr>
        <w:t>https://referencia.poa.br/legislacao/</w:t>
      </w:r>
    </w:p>
    <w:p w14:paraId="754BA1DB" w14:textId="4391901A" w:rsidR="00AD12FB" w:rsidRDefault="00AD12FB">
      <w:pPr>
        <w:rPr>
          <w:rFonts w:ascii="Tahoma" w:hAnsi="Tahoma" w:cs="Tahoma"/>
          <w:b/>
          <w:bCs/>
          <w:i/>
          <w:iCs/>
          <w:sz w:val="16"/>
          <w:szCs w:val="18"/>
        </w:rPr>
      </w:pPr>
      <w:r>
        <w:rPr>
          <w:rFonts w:ascii="Tahoma" w:hAnsi="Tahoma" w:cs="Tahoma"/>
          <w:b/>
          <w:bCs/>
          <w:i/>
          <w:iCs/>
          <w:sz w:val="16"/>
          <w:szCs w:val="18"/>
        </w:rPr>
        <w:br w:type="page"/>
      </w:r>
    </w:p>
    <w:bookmarkStart w:id="12" w:name="_Toc181542563"/>
    <w:p w14:paraId="677373C5" w14:textId="037F9D8C" w:rsidR="00465C63" w:rsidRPr="009911C8" w:rsidRDefault="00AD12FB" w:rsidP="000C021C">
      <w:pPr>
        <w:pStyle w:val="Ttulo1"/>
        <w:rPr>
          <w:sz w:val="20"/>
        </w:rPr>
      </w:pPr>
      <w:r w:rsidRPr="00E4782B">
        <w:object w:dxaOrig="2425" w:dyaOrig="2598" w14:anchorId="2F05905A">
          <v:shape id="_x0000_i1058" type="#_x0000_t75" style="width:9.75pt;height:9pt" o:ole="">
            <v:imagedata r:id="rId11" o:title=""/>
          </v:shape>
          <o:OLEObject Type="Embed" ProgID="CorelDRAW.Graphic.13" ShapeID="_x0000_i1058" DrawAspect="Content" ObjectID="_1793685931" r:id="rId46"/>
        </w:object>
      </w:r>
      <w:r w:rsidR="00465C63" w:rsidRPr="000C021C">
        <w:rPr>
          <w:rStyle w:val="Ttulo1Char"/>
          <w:b/>
          <w:bCs/>
          <w:sz w:val="22"/>
        </w:rPr>
        <w:t>CONJUNTURA ECONÔMICA E ANÁLISE DE MERCADO</w:t>
      </w:r>
      <w:r w:rsidR="00465C63" w:rsidRPr="00E8601E">
        <w:t xml:space="preserve"> </w:t>
      </w:r>
      <w:bookmarkEnd w:id="12"/>
      <w:r w:rsidR="00465C63" w:rsidRPr="00E8601E">
        <w:rPr>
          <w:sz w:val="20"/>
        </w:rPr>
        <w:object w:dxaOrig="3163" w:dyaOrig="3187" w14:anchorId="6E8DA44E">
          <v:shape id="_x0000_i1059" type="#_x0000_t75" style="width:21.75pt;height:23.25pt" o:ole="">
            <v:imagedata r:id="rId13" o:title=""/>
          </v:shape>
          <o:OLEObject Type="Embed" ProgID="CorelDRAW.Graphic.13" ShapeID="_x0000_i1059" DrawAspect="Content" ObjectID="_1793685932" r:id="rId47"/>
        </w:object>
      </w:r>
    </w:p>
    <w:p w14:paraId="769EECEF" w14:textId="77777777" w:rsidR="00FE132C" w:rsidRPr="00FE132C" w:rsidRDefault="00FE132C" w:rsidP="00AD12FB">
      <w:pPr>
        <w:spacing w:after="120"/>
        <w:ind w:firstLine="709"/>
        <w:rPr>
          <w:rFonts w:cs="Tahoma"/>
          <w:szCs w:val="20"/>
        </w:rPr>
      </w:pPr>
      <w:bookmarkStart w:id="13" w:name="_Toc436040840"/>
    </w:p>
    <w:p w14:paraId="44A544F2" w14:textId="49AB0732" w:rsidR="00FE132C" w:rsidRDefault="00FE132C" w:rsidP="00D93366">
      <w:pPr>
        <w:spacing w:after="120"/>
        <w:ind w:firstLine="709"/>
        <w:jc w:val="both"/>
        <w:rPr>
          <w:rFonts w:cs="Tahoma"/>
          <w:szCs w:val="20"/>
        </w:rPr>
      </w:pPr>
      <w:r w:rsidRPr="00FE132C">
        <w:rPr>
          <w:rFonts w:cs="Tahoma"/>
          <w:szCs w:val="20"/>
        </w:rPr>
        <w:t>A conjuntura econômica representa uma configuração da realidade circunstancial da economia. Através de indicadores de mercado e suas inter-relações, esta seção pretende cumprir o papel de apresentar perspectivas acerca das possíveis condições econômicas que pautarão o próximo exercício. O foco é atribuído em especial às expectativas de mercado, as quais se constituem como as principais sinalizadoras para a tomada de decisões de investimentos. A proposta é produzir indícios que permitam transitar pela realidade atual e espreitar as conjecturas formadas pelos agentes de mercado. A partir dos indicadores selecionados, analisa-se o comportamento da economia ao longo do ano, identificando-se os principais desafios e tendências para a condução da política econômica no decorrer de 2025.</w:t>
      </w:r>
    </w:p>
    <w:p w14:paraId="7D40D71D" w14:textId="77777777" w:rsidR="00FE132C" w:rsidRPr="002B3FE6" w:rsidRDefault="00FE132C" w:rsidP="00FE132C">
      <w:pPr>
        <w:tabs>
          <w:tab w:val="left" w:pos="284"/>
        </w:tabs>
        <w:spacing w:before="120"/>
        <w:rPr>
          <w:rFonts w:ascii="Tahoma" w:hAnsi="Tahoma" w:cs="Tahoma"/>
          <w:b/>
          <w:sz w:val="20"/>
          <w:szCs w:val="20"/>
        </w:rPr>
      </w:pPr>
      <w:r w:rsidRPr="002B3FE6">
        <w:rPr>
          <w:rFonts w:ascii="Tahoma" w:hAnsi="Tahoma" w:cs="Tahoma"/>
          <w:b/>
          <w:sz w:val="20"/>
          <w:szCs w:val="20"/>
        </w:rPr>
        <w:t>Breve Histórico 2020-2023</w:t>
      </w:r>
    </w:p>
    <w:p w14:paraId="5EE5BDD1" w14:textId="08629E6A" w:rsidR="00FE132C" w:rsidRPr="00FE132C" w:rsidRDefault="00FE132C" w:rsidP="00D93366">
      <w:pPr>
        <w:spacing w:after="120"/>
        <w:ind w:firstLine="709"/>
        <w:jc w:val="both"/>
        <w:rPr>
          <w:rFonts w:cs="Tahoma"/>
          <w:szCs w:val="20"/>
        </w:rPr>
      </w:pPr>
      <w:r w:rsidRPr="00FE132C">
        <w:rPr>
          <w:rFonts w:cs="Tahoma"/>
          <w:szCs w:val="20"/>
        </w:rPr>
        <w:t>Em 2020, a economia global foi severamente impactada pela pandemia do novo coronavírus, com as expectativas de aceleração do crescimento restando frustradas logo no primeiro trimestre daquele ano. As medidas de distanciamento social adotadas em larga escala paralisaram boa parte da atividade econômica, com o PIB mundial recuando -3,4%. Excetuando-se a China</w:t>
      </w:r>
      <w:r w:rsidR="0095399B">
        <w:rPr>
          <w:rFonts w:cs="Tahoma"/>
          <w:szCs w:val="20"/>
        </w:rPr>
        <w:t>,</w:t>
      </w:r>
      <w:r w:rsidRPr="00FE132C">
        <w:rPr>
          <w:rFonts w:cs="Tahoma"/>
          <w:szCs w:val="20"/>
        </w:rPr>
        <w:t xml:space="preserve"> que cresceu 2,3% no período, as principais economias do mundo registraram significativas retrações de PIB, destacando-se as variações negativas dos EUA (-3,4%), dos países que integram a Zona do Euro (-6,5%), Reino Unido (-9,8%) e Japão (-4,6%). No Brasil, a queda foi de   -3,9%, com a retração só não sendo maior em virtude dos programas de transferência direta de renda e dos auxílios financeiros concedidos a </w:t>
      </w:r>
      <w:r w:rsidR="0095399B">
        <w:rPr>
          <w:rFonts w:cs="Tahoma"/>
          <w:szCs w:val="20"/>
        </w:rPr>
        <w:t>E</w:t>
      </w:r>
      <w:r w:rsidRPr="00FE132C">
        <w:rPr>
          <w:rFonts w:cs="Tahoma"/>
          <w:szCs w:val="20"/>
        </w:rPr>
        <w:t xml:space="preserve">stados e </w:t>
      </w:r>
      <w:r w:rsidR="0095399B">
        <w:rPr>
          <w:rFonts w:cs="Tahoma"/>
          <w:szCs w:val="20"/>
        </w:rPr>
        <w:t>M</w:t>
      </w:r>
      <w:r w:rsidRPr="00FE132C">
        <w:rPr>
          <w:rFonts w:cs="Tahoma"/>
          <w:szCs w:val="20"/>
        </w:rPr>
        <w:t xml:space="preserve">unicípios pela União, cujo efeito colateral consistiu no agravamento das contas públicas a partir do estabelecimento de um déficit primário superior a 9% do PIB. </w:t>
      </w:r>
    </w:p>
    <w:p w14:paraId="2EAFE207" w14:textId="77777777" w:rsidR="00FE132C" w:rsidRPr="00FE132C" w:rsidRDefault="00FE132C" w:rsidP="00D93366">
      <w:pPr>
        <w:spacing w:after="120"/>
        <w:ind w:firstLine="709"/>
        <w:jc w:val="both"/>
        <w:rPr>
          <w:rFonts w:cs="Tahoma"/>
          <w:szCs w:val="20"/>
        </w:rPr>
      </w:pPr>
      <w:r w:rsidRPr="00FE132C">
        <w:rPr>
          <w:rFonts w:cs="Tahoma"/>
          <w:szCs w:val="20"/>
        </w:rPr>
        <w:t>Já em 2021, as expectativas de retomada do crescimento estiveram diretamente vinculadas ao avanço e respectivo sucesso dos programas de vacinação ao redor do mundo. Por conseguinte, a maior eficácia conferida às ações de combate à pandemia permitiu aos governos flexibilizarem suas medidas de isolamento social, com o setor de serviços, que responde por aproximadamente 65% do PIB mundial, gradativamente retomando suas atividades ao longo daquele exercício. A progressiva retomada desse setor implicou um crescimento global, em média, de 5,7% em 2021, com as expansões registradas ao redor do mundo recuperando total ou parcialmente os prejuízos acumulados no exercício anterior. Enquanto a China cresceu 8,1% no período, a Zona do Euro, os EUA e o Brasil registraram respectivas variações positivas de 5,9%, 5,7% e 4,6%.</w:t>
      </w:r>
    </w:p>
    <w:p w14:paraId="1EE2856A" w14:textId="4A63F910" w:rsidR="00FE132C" w:rsidRPr="00FE132C" w:rsidRDefault="00FE132C" w:rsidP="00D93366">
      <w:pPr>
        <w:spacing w:after="120"/>
        <w:ind w:firstLine="709"/>
        <w:jc w:val="both"/>
        <w:rPr>
          <w:rFonts w:cs="Tahoma"/>
          <w:szCs w:val="20"/>
        </w:rPr>
      </w:pPr>
      <w:r w:rsidRPr="00FE132C">
        <w:rPr>
          <w:rFonts w:cs="Tahoma"/>
          <w:szCs w:val="20"/>
        </w:rPr>
        <w:t>A recuperação econômica ocorrida em 2021</w:t>
      </w:r>
      <w:r w:rsidR="0095399B">
        <w:rPr>
          <w:rFonts w:cs="Tahoma"/>
          <w:szCs w:val="20"/>
        </w:rPr>
        <w:t>,</w:t>
      </w:r>
      <w:r w:rsidRPr="00FE132C">
        <w:rPr>
          <w:rFonts w:cs="Tahoma"/>
          <w:szCs w:val="20"/>
        </w:rPr>
        <w:t xml:space="preserve"> acompanhada da contínua queda dos casos de contaminação pelo novo coronavírus fomentaram as expectativas de crescimento para 2022. Todavia, o desequilíbrio entre oferta e demanda ocasionado pela pandemia, sobretudo da indústria chinesa, que além da crise energética experimentada ao longo do ano também teve que lidar com novas medidas de distanciamento social, teve como principal consequência o aumento da inflação em termos globais. Soma-se a isso a crise geopolítica entre Rússia e Ucrânia, cujos efeitos repercutiram diretamente nos preços da energia e dos alimentos, agravando a crise de oferta já deflagrada pela pandemia. Com efeito, o crescimento global registrado em 2022 foi de 3,3%, ou seja, ficando abaixo tanto das previsões iniciais (4,8%) como da expansão verificada no ano anterior (5,7%).</w:t>
      </w:r>
    </w:p>
    <w:p w14:paraId="7324F751" w14:textId="77777777" w:rsidR="00FE132C" w:rsidRPr="00FE132C" w:rsidRDefault="00FE132C" w:rsidP="00D93366">
      <w:pPr>
        <w:spacing w:after="120"/>
        <w:ind w:firstLine="709"/>
        <w:jc w:val="both"/>
        <w:rPr>
          <w:rFonts w:cs="Tahoma"/>
          <w:szCs w:val="20"/>
        </w:rPr>
      </w:pPr>
      <w:r w:rsidRPr="00FE132C">
        <w:rPr>
          <w:rFonts w:cs="Tahoma"/>
          <w:szCs w:val="20"/>
        </w:rPr>
        <w:lastRenderedPageBreak/>
        <w:t>O resultado global de 2022 refletiu as performances abaixo do previsto das principais economias mundiais, uma vez que China, EUA e a Zona do Euro cresceram respectivamente 3%, 3,4% e 2,1% no período.  De parte do BRICs, além da já referida tímida expansão chinesa, destaca-se o crescimento negativo da Rússia (-2%), cujo PIB foi fortemente afetado pela guerra com a Ucrânia, além dos desempenhos acima da média registrados pela Índia (7,2%) e Arábia Saudita (8,8%).</w:t>
      </w:r>
    </w:p>
    <w:p w14:paraId="6C30C706" w14:textId="46C4F3D1" w:rsidR="00FE132C" w:rsidRPr="00FE132C" w:rsidRDefault="00FE132C" w:rsidP="00D93366">
      <w:pPr>
        <w:spacing w:after="120"/>
        <w:ind w:firstLine="709"/>
        <w:jc w:val="both"/>
        <w:rPr>
          <w:rFonts w:cs="Tahoma"/>
          <w:szCs w:val="20"/>
        </w:rPr>
      </w:pPr>
      <w:r w:rsidRPr="00FE132C">
        <w:rPr>
          <w:rFonts w:cs="Tahoma"/>
          <w:szCs w:val="20"/>
        </w:rPr>
        <w:t>Em 2023, o cenário pouco se alterou em relação ao ano anterior. As pressões inflacionárias ao redor do mundo seguiram incentivando a adoção de políticas monetárias contracionistas, com os respectivos efeitos sobre os juros desacelerando o ritmo de recuperação global. Em que pese</w:t>
      </w:r>
      <w:r w:rsidR="0095399B">
        <w:rPr>
          <w:rFonts w:cs="Tahoma"/>
          <w:szCs w:val="20"/>
        </w:rPr>
        <w:t>,</w:t>
      </w:r>
      <w:r w:rsidRPr="00FE132C">
        <w:rPr>
          <w:rFonts w:cs="Tahoma"/>
          <w:szCs w:val="20"/>
        </w:rPr>
        <w:t xml:space="preserve"> a menor pressão exercida pela crise no </w:t>
      </w:r>
      <w:r w:rsidR="0095399B">
        <w:rPr>
          <w:rFonts w:cs="Tahoma"/>
          <w:szCs w:val="20"/>
        </w:rPr>
        <w:t>L</w:t>
      </w:r>
      <w:r w:rsidRPr="00FE132C">
        <w:rPr>
          <w:rFonts w:cs="Tahoma"/>
          <w:szCs w:val="20"/>
        </w:rPr>
        <w:t xml:space="preserve">este </w:t>
      </w:r>
      <w:r w:rsidR="0095399B">
        <w:rPr>
          <w:rFonts w:cs="Tahoma"/>
          <w:szCs w:val="20"/>
        </w:rPr>
        <w:t>E</w:t>
      </w:r>
      <w:r w:rsidRPr="00FE132C">
        <w:rPr>
          <w:rFonts w:cs="Tahoma"/>
          <w:szCs w:val="20"/>
        </w:rPr>
        <w:t>uropeu sobre o preço dos alimentos e das commodities, em especial a partir do segundo semestre do ano, a relação entre oferta e demanda seguiu em descompasso, com as pressões inflacionárias exigindo a adoção de pol</w:t>
      </w:r>
      <w:r w:rsidR="0095399B">
        <w:rPr>
          <w:rFonts w:cs="Tahoma"/>
          <w:szCs w:val="20"/>
        </w:rPr>
        <w:t>í</w:t>
      </w:r>
      <w:r w:rsidRPr="00FE132C">
        <w:rPr>
          <w:rFonts w:cs="Tahoma"/>
          <w:szCs w:val="20"/>
        </w:rPr>
        <w:t xml:space="preserve">ticas econômicas mais rígidas. </w:t>
      </w:r>
    </w:p>
    <w:p w14:paraId="4CF9D7C2" w14:textId="265020E6" w:rsidR="00FE132C" w:rsidRDefault="00FE132C" w:rsidP="00D93366">
      <w:pPr>
        <w:spacing w:after="120"/>
        <w:ind w:firstLine="709"/>
        <w:jc w:val="both"/>
        <w:rPr>
          <w:rFonts w:cs="Tahoma"/>
          <w:szCs w:val="20"/>
        </w:rPr>
      </w:pPr>
      <w:r w:rsidRPr="00FE132C">
        <w:rPr>
          <w:rFonts w:cs="Tahoma"/>
          <w:szCs w:val="20"/>
        </w:rPr>
        <w:t>No ano passado, a economia global cresceu 3,1%, com os crescimentos registrados pelo Brasil, EUA e Zona do Euro sendo respectivamente de 2,9%, 2,5% e 0,5%. Por sua vez, a China melhorou em relação a 2022, expandindo 5,24% em 2023, contudo, ainda performando bem abaixo de suas máximas históricas.</w:t>
      </w:r>
    </w:p>
    <w:p w14:paraId="1CDE8CBF" w14:textId="71FF8FE1" w:rsidR="00FE132C" w:rsidRPr="00FE132C" w:rsidRDefault="00FE132C" w:rsidP="000C021C">
      <w:pPr>
        <w:pStyle w:val="Ttulo2"/>
        <w:rPr>
          <w:rFonts w:ascii="Tahoma" w:hAnsi="Tahoma" w:cs="Tahoma"/>
          <w:b/>
          <w:sz w:val="20"/>
          <w:szCs w:val="20"/>
        </w:rPr>
      </w:pPr>
      <w:bookmarkStart w:id="14" w:name="_Toc181542564"/>
      <w:r w:rsidRPr="000C021C">
        <w:rPr>
          <w:rFonts w:ascii="Tahoma" w:hAnsi="Tahoma" w:cs="Tahoma"/>
          <w:b/>
          <w:color w:val="auto"/>
          <w:sz w:val="20"/>
          <w:szCs w:val="20"/>
        </w:rPr>
        <w:t>Análise e Projeções 2024/2025</w:t>
      </w:r>
      <w:bookmarkEnd w:id="14"/>
    </w:p>
    <w:p w14:paraId="1A7C5400" w14:textId="77777777" w:rsidR="00FE132C" w:rsidRPr="00FE132C" w:rsidRDefault="00FE132C" w:rsidP="00D93366">
      <w:pPr>
        <w:spacing w:after="120"/>
        <w:ind w:firstLine="709"/>
        <w:jc w:val="both"/>
        <w:rPr>
          <w:rFonts w:cs="Tahoma"/>
          <w:szCs w:val="20"/>
        </w:rPr>
      </w:pPr>
      <w:r w:rsidRPr="00FE132C">
        <w:rPr>
          <w:rFonts w:cs="Tahoma"/>
          <w:szCs w:val="20"/>
        </w:rPr>
        <w:t>Para 2024, o recuo da inflação ao redor do mundo e a tendência de atingimento das metas estabelecidas pelos bancos centrais no decorrer do presente biênio, fomentam estáveis e resilientes expectativas de crescimento econômico. Segundo as recentes previsões divulgadas pela Organização para Cooperação e Desenvolvimento Econômico (OCDE), o crescimento global projetado para 2024 é de 3,2%, ou seja, pouco superior a marca atingida em 2023, contudo, sendo previsto idêntico percentual também para 2025.</w:t>
      </w:r>
    </w:p>
    <w:p w14:paraId="2EAF4544" w14:textId="77777777" w:rsidR="00FE132C" w:rsidRPr="00FE132C" w:rsidRDefault="00FE132C" w:rsidP="00D93366">
      <w:pPr>
        <w:spacing w:after="120"/>
        <w:ind w:firstLine="709"/>
        <w:jc w:val="both"/>
        <w:rPr>
          <w:rFonts w:cs="Tahoma"/>
          <w:szCs w:val="20"/>
        </w:rPr>
      </w:pPr>
      <w:r w:rsidRPr="00FE132C">
        <w:rPr>
          <w:rFonts w:cs="Tahoma"/>
          <w:szCs w:val="20"/>
        </w:rPr>
        <w:t>De acordo com a OCDE, a inflação do G20 – grupo que reúne as maiores economias do mundo – projetada para 2024 é de 5,4%, caindo para 3,3% em 2025, registrando que em 2023 o indicador ficou em 6,1%. Idêntica tendência é observada para as economias desenvolvidas, que após fechar 2023 com inflação média de 4,2%, possuem previstas respectivas taxas de 2,7% e de 2,1% para os exercícios de 2024 e 2025. Em síntese, o indicativo de inflação em queda abre espaço para continuidade da queda dos juros em termos globais, incentivando o crescimento do comércio, melhorias nas rendas reais e a adoção de políticas monetárias acomodatícias.</w:t>
      </w:r>
    </w:p>
    <w:p w14:paraId="1500FD33" w14:textId="1412DAFF" w:rsidR="00FE132C" w:rsidRPr="00FE132C" w:rsidRDefault="00FE132C" w:rsidP="00D93366">
      <w:pPr>
        <w:spacing w:after="120"/>
        <w:ind w:firstLine="709"/>
        <w:jc w:val="both"/>
        <w:rPr>
          <w:rFonts w:cs="Tahoma"/>
          <w:szCs w:val="20"/>
        </w:rPr>
      </w:pPr>
      <w:r w:rsidRPr="00FE132C">
        <w:rPr>
          <w:rFonts w:cs="Tahoma"/>
          <w:szCs w:val="20"/>
        </w:rPr>
        <w:t>Apesar do otimismo acerca da evolução inflacionária, a OCDE chama atenção para alguns pontos a serem monitorados ao longo do presente biênio, como por exemplo, a continuidade das tensões geopolíticas e seus efeitos sobre a oferta global</w:t>
      </w:r>
      <w:r w:rsidR="0095399B">
        <w:rPr>
          <w:rFonts w:cs="Tahoma"/>
          <w:szCs w:val="20"/>
        </w:rPr>
        <w:t>,</w:t>
      </w:r>
      <w:r w:rsidRPr="00FE132C">
        <w:rPr>
          <w:rFonts w:cs="Tahoma"/>
          <w:szCs w:val="20"/>
        </w:rPr>
        <w:t xml:space="preserve"> a defasagem dos efeitos da prolongada pol</w:t>
      </w:r>
      <w:r w:rsidR="0095399B">
        <w:rPr>
          <w:rFonts w:cs="Tahoma"/>
          <w:szCs w:val="20"/>
        </w:rPr>
        <w:t>í</w:t>
      </w:r>
      <w:r w:rsidRPr="00FE132C">
        <w:rPr>
          <w:rFonts w:cs="Tahoma"/>
          <w:szCs w:val="20"/>
        </w:rPr>
        <w:t xml:space="preserve">tica contracionista sobre a demanda e possíveis oscilações nos mercados financeiros decorrentes do processo de desinflação. </w:t>
      </w:r>
    </w:p>
    <w:p w14:paraId="61FE498B" w14:textId="77777777" w:rsidR="00FE132C" w:rsidRPr="00FE132C" w:rsidRDefault="00FE132C" w:rsidP="00D93366">
      <w:pPr>
        <w:spacing w:after="120"/>
        <w:ind w:firstLine="709"/>
        <w:jc w:val="both"/>
        <w:rPr>
          <w:rFonts w:cs="Tahoma"/>
          <w:szCs w:val="20"/>
        </w:rPr>
      </w:pPr>
      <w:r w:rsidRPr="00FE132C">
        <w:rPr>
          <w:rFonts w:cs="Tahoma"/>
          <w:szCs w:val="20"/>
        </w:rPr>
        <w:t xml:space="preserve">No que tange aos EUA, as previsões da OCDE indicam crescimentos de 2,6% em 2024 e de 1,6% para 2025, na medida em que o impacto da redução dos juros sobre a atividade econômica tende a estar mais concentrado no atual exercício, com seus efeitos desacelerando no ano subsequente. Já na Zona do Euro, que não teve o mesmo ritmo de recuperação econômica observado nos EUA, as taxas esperadas para 2024 e 2025 são menores, contudo, crescentes, respectivamente de 0,7% e de 1,3%. No caso da China, principal propulsor da economia mundial, as taxas de crescimento esperadas para 2024 e 2025 indicam sucessivas desacelerações, recuando dos 5,2% aferidos em 2023 para </w:t>
      </w:r>
      <w:r w:rsidRPr="00FE132C">
        <w:rPr>
          <w:rFonts w:cs="Tahoma"/>
          <w:szCs w:val="20"/>
        </w:rPr>
        <w:lastRenderedPageBreak/>
        <w:t>respectivamente 4,9% e 4,5%. As quedas projetadas têm como base o comportamento ainda moderado da demanda doméstica (setor privado) e, principalmente, do movimento em curso de correção do mercado imobiliário, cujas vendas tem caído de maneira sistemática ao longo dos últimos meses. Não obstante, novos incentivos advindos do setor público são esperados para os próximos anos.</w:t>
      </w:r>
    </w:p>
    <w:p w14:paraId="7358464A" w14:textId="77777777" w:rsidR="00FE132C" w:rsidRPr="00FE132C" w:rsidRDefault="00FE132C" w:rsidP="00D93366">
      <w:pPr>
        <w:spacing w:after="120"/>
        <w:ind w:firstLine="709"/>
        <w:jc w:val="both"/>
        <w:rPr>
          <w:rFonts w:cs="Tahoma"/>
          <w:szCs w:val="20"/>
        </w:rPr>
      </w:pPr>
      <w:r w:rsidRPr="00FE132C">
        <w:rPr>
          <w:rFonts w:cs="Tahoma"/>
          <w:szCs w:val="20"/>
        </w:rPr>
        <w:t>Excetuando-se a Argentina, que tem estimada uma significativa recessão de -4%, os demais países emergentes que integram o grupo das 20 principais economias do mundo possuem projeções positivas de PIB para 2024, com destaque para Índia, que mais uma vez apresenta a maior expectativa de crescimento (6,7%). Outro destaque que cabe ser feito diz respeito a Rússia, que mesmo em meio a continuidade do conflito com a Ucrânia manteve uma expectativa de crescimento muito próxima à taxa efetivada em 2023 (3,7%).</w:t>
      </w:r>
    </w:p>
    <w:p w14:paraId="1C8D7B32" w14:textId="77777777" w:rsidR="00FE132C" w:rsidRPr="00FE132C" w:rsidRDefault="00FE132C" w:rsidP="00D93366">
      <w:pPr>
        <w:spacing w:after="120"/>
        <w:ind w:firstLine="709"/>
        <w:jc w:val="both"/>
        <w:rPr>
          <w:rFonts w:cs="Tahoma"/>
          <w:szCs w:val="20"/>
        </w:rPr>
      </w:pPr>
      <w:r w:rsidRPr="00FE132C">
        <w:rPr>
          <w:rFonts w:cs="Tahoma"/>
          <w:szCs w:val="20"/>
        </w:rPr>
        <w:t>Já no que se refere especificamente ao Brasil, o arrefecimento da inflação provocado pelo longo período de contracionismo monetário possibilitou ao Banco Central dar sequência ao ciclo de queda da Selic, sendo procedidos quatro novos cortes do indicador entre os meses de janeiro a maio de 2024, conduzindo a taxa de 12,25% para 10,5% ao ano. Mais adiante, em linha com o monitoramento de riscos preconizado pela OCDE, o Comitê de Política Monetária (COPOM) manteve a taxa inalterada por três reuniões consecutivas, elevando novamente o indicador em 0,25 ponto percentual na decisão de setembro, com o mercado apostando em dois novos aumentos de 0,5 ponto percentual cada até o final do ano, o que elevaria a Selic para 11,75%.</w:t>
      </w:r>
    </w:p>
    <w:p w14:paraId="7ABBFFCF" w14:textId="33A020A3" w:rsidR="00FE132C" w:rsidRPr="00FE132C" w:rsidRDefault="000151D3" w:rsidP="00D93366">
      <w:pPr>
        <w:spacing w:after="120"/>
        <w:ind w:firstLine="709"/>
        <w:jc w:val="both"/>
        <w:rPr>
          <w:rFonts w:cs="Tahoma"/>
          <w:szCs w:val="20"/>
        </w:rPr>
      </w:pPr>
      <w:r>
        <w:rPr>
          <w:rFonts w:cs="Tahoma"/>
          <w:szCs w:val="20"/>
        </w:rPr>
        <w:t>Apesar d</w:t>
      </w:r>
      <w:r w:rsidR="00FE132C" w:rsidRPr="00FE132C">
        <w:rPr>
          <w:rFonts w:cs="Tahoma"/>
          <w:szCs w:val="20"/>
        </w:rPr>
        <w:t>o movimento de alta dos juros previsto para o final do presente exercício, o ciclo de queda ocorrido ao longo do ano foi suficiente para animar o mercado acerca das expectativas para o biênio, sendo projetadas pela OCDE expansões da atividade econômica de 2,9% para 2024 e de 2,6% para 2025. Importante registrar que</w:t>
      </w:r>
      <w:r>
        <w:rPr>
          <w:rFonts w:cs="Tahoma"/>
          <w:szCs w:val="20"/>
        </w:rPr>
        <w:t>,</w:t>
      </w:r>
      <w:r w:rsidR="00FE132C" w:rsidRPr="00FE132C">
        <w:rPr>
          <w:rFonts w:cs="Tahoma"/>
          <w:szCs w:val="20"/>
        </w:rPr>
        <w:t xml:space="preserve"> na publicação de maio</w:t>
      </w:r>
      <w:r>
        <w:rPr>
          <w:rFonts w:cs="Tahoma"/>
          <w:szCs w:val="20"/>
        </w:rPr>
        <w:t>,</w:t>
      </w:r>
      <w:r w:rsidR="00FE132C" w:rsidRPr="00FE132C">
        <w:rPr>
          <w:rFonts w:cs="Tahoma"/>
          <w:szCs w:val="20"/>
        </w:rPr>
        <w:t xml:space="preserve"> a previsão de crescimento da OCDE para o Brasil era de apenas 1,9%.</w:t>
      </w:r>
    </w:p>
    <w:p w14:paraId="19518F74" w14:textId="0886EA7F" w:rsidR="00FE132C" w:rsidRPr="00FE132C" w:rsidRDefault="00FE132C" w:rsidP="00D93366">
      <w:pPr>
        <w:spacing w:after="120"/>
        <w:ind w:firstLine="709"/>
        <w:jc w:val="both"/>
        <w:rPr>
          <w:rFonts w:cs="Tahoma"/>
          <w:szCs w:val="20"/>
        </w:rPr>
      </w:pPr>
      <w:r w:rsidRPr="00FE132C">
        <w:rPr>
          <w:rFonts w:cs="Tahoma"/>
          <w:szCs w:val="20"/>
        </w:rPr>
        <w:t>O forte crescimento da demanda interna tem impulsionado a economia do país em 2024, aumentando a resiliência da mesma em relação à Selic, que</w:t>
      </w:r>
      <w:r w:rsidR="000151D3">
        <w:rPr>
          <w:rFonts w:cs="Tahoma"/>
          <w:szCs w:val="20"/>
        </w:rPr>
        <w:t>,</w:t>
      </w:r>
      <w:r w:rsidRPr="00FE132C">
        <w:rPr>
          <w:rFonts w:cs="Tahoma"/>
          <w:szCs w:val="20"/>
        </w:rPr>
        <w:t xml:space="preserve"> mesmo tendo previsão de alta para os próximos meses</w:t>
      </w:r>
      <w:r w:rsidR="000151D3">
        <w:rPr>
          <w:rFonts w:cs="Tahoma"/>
          <w:szCs w:val="20"/>
        </w:rPr>
        <w:t>,</w:t>
      </w:r>
      <w:r w:rsidRPr="00FE132C">
        <w:rPr>
          <w:rFonts w:cs="Tahoma"/>
          <w:szCs w:val="20"/>
        </w:rPr>
        <w:t xml:space="preserve"> parece ter </w:t>
      </w:r>
      <w:r w:rsidR="000151D3">
        <w:rPr>
          <w:rFonts w:cs="Tahoma"/>
          <w:szCs w:val="20"/>
        </w:rPr>
        <w:t xml:space="preserve">tido </w:t>
      </w:r>
      <w:r w:rsidRPr="00FE132C">
        <w:rPr>
          <w:rFonts w:cs="Tahoma"/>
          <w:szCs w:val="20"/>
        </w:rPr>
        <w:t xml:space="preserve">pouco impactado </w:t>
      </w:r>
      <w:r w:rsidR="000151D3">
        <w:rPr>
          <w:rFonts w:cs="Tahoma"/>
          <w:szCs w:val="20"/>
        </w:rPr>
        <w:t xml:space="preserve">sobre </w:t>
      </w:r>
      <w:r w:rsidRPr="00FE132C">
        <w:rPr>
          <w:rFonts w:cs="Tahoma"/>
          <w:szCs w:val="20"/>
        </w:rPr>
        <w:t xml:space="preserve">as estimativas de expansão da atividade econômica. Além do desempenho positivo do PIB verificado nos últimos trimestres, os números do desemprego e da utilização da capacidade instalada na indústria também denotam o bom momento da economia brasileira no ano. Todavia, o aumento recente das pressões inflacionárias, impulsionado, dentre outros fatores, pela desvalorização do real frente ao dólar, mantem o alerta ligado quanto à necessidade de novos apertos monetários, o que tornaria a elevar os juros e por conseguinte prejudicar as estimativas de crescimento econômico. </w:t>
      </w:r>
    </w:p>
    <w:p w14:paraId="68F9144E" w14:textId="0E3F8029" w:rsidR="00FE132C" w:rsidRPr="00FE132C" w:rsidRDefault="00FE132C" w:rsidP="00D93366">
      <w:pPr>
        <w:spacing w:after="120"/>
        <w:ind w:firstLine="709"/>
        <w:jc w:val="both"/>
        <w:rPr>
          <w:rFonts w:cs="Tahoma"/>
          <w:szCs w:val="20"/>
        </w:rPr>
      </w:pPr>
      <w:r w:rsidRPr="00FE132C">
        <w:rPr>
          <w:rFonts w:cs="Tahoma"/>
          <w:szCs w:val="20"/>
        </w:rPr>
        <w:t>Sob o ponto de vista fiscal, o Brasil segue acumulando déficits primários, ou seja, despesas superiores às receitas</w:t>
      </w:r>
      <w:r w:rsidR="000151D3">
        <w:rPr>
          <w:rFonts w:cs="Tahoma"/>
          <w:szCs w:val="20"/>
        </w:rPr>
        <w:t>,</w:t>
      </w:r>
      <w:r w:rsidRPr="00FE132C">
        <w:rPr>
          <w:rFonts w:cs="Tahoma"/>
          <w:szCs w:val="20"/>
        </w:rPr>
        <w:t xml:space="preserve"> sem levar em consideração os chamados juros da dívida. Após fechar 2023 com um déficit primário da ordem de 2,29% do PIB, o país já acumula nos primeiros nove meses de 2024 novo prejuízo de 1,14% do PIB, sinalizando um contínuo descontrole das contas públicas. Tal cenário aumenta a percepção de risco do investidor estrangeiro, que ao longo deste ano</w:t>
      </w:r>
      <w:r w:rsidR="000151D3">
        <w:rPr>
          <w:rFonts w:cs="Tahoma"/>
          <w:szCs w:val="20"/>
        </w:rPr>
        <w:t>,</w:t>
      </w:r>
      <w:r w:rsidRPr="00FE132C">
        <w:rPr>
          <w:rFonts w:cs="Tahoma"/>
          <w:szCs w:val="20"/>
        </w:rPr>
        <w:t xml:space="preserve"> tem sistematicamente retirado mais do que aportado recursos no Brasil, incentivando o movimento de desvalorização cambial percebido nos últimos meses. No geral, déficits públicos em sequência prejudicam a ancoragem das expectativas inflacionárias, além de requererem prêmios (juros) cada vez </w:t>
      </w:r>
      <w:r w:rsidRPr="00FE132C">
        <w:rPr>
          <w:rFonts w:cs="Tahoma"/>
          <w:szCs w:val="20"/>
        </w:rPr>
        <w:lastRenderedPageBreak/>
        <w:t>mais altos nos títulos emitidos pelo governo, dificultando o já complicado processo de redução da Selic.</w:t>
      </w:r>
    </w:p>
    <w:p w14:paraId="23CAE42B" w14:textId="368CD2E5" w:rsidR="00FE132C" w:rsidRDefault="00FE132C" w:rsidP="00D93366">
      <w:pPr>
        <w:spacing w:after="120"/>
        <w:ind w:firstLine="709"/>
        <w:jc w:val="both"/>
        <w:rPr>
          <w:rFonts w:cs="Tahoma"/>
          <w:szCs w:val="20"/>
        </w:rPr>
      </w:pPr>
      <w:r w:rsidRPr="00FE132C">
        <w:rPr>
          <w:rFonts w:cs="Tahoma"/>
          <w:szCs w:val="20"/>
        </w:rPr>
        <w:t>Importante registrar que entre os anos de 2014 a 2024 o Brasil registrou resultado primário positivo apenas em duas oportunidades, mais especificamente nos anos de 2021 (0,73% do PIB) e 2022 (1,28% do PIB).</w:t>
      </w:r>
    </w:p>
    <w:p w14:paraId="7680B651" w14:textId="672682BF" w:rsidR="00FE132C" w:rsidRDefault="00FE132C" w:rsidP="00FE132C">
      <w:pPr>
        <w:spacing w:after="120"/>
        <w:ind w:firstLine="709"/>
        <w:rPr>
          <w:rFonts w:cs="Tahoma"/>
          <w:szCs w:val="20"/>
        </w:rPr>
      </w:pPr>
      <w:r w:rsidRPr="002150E6">
        <w:rPr>
          <w:noProof/>
        </w:rPr>
        <w:drawing>
          <wp:inline distT="0" distB="0" distL="0" distR="0" wp14:anchorId="4B72B89F" wp14:editId="0B21806F">
            <wp:extent cx="4683967" cy="2355046"/>
            <wp:effectExtent l="0" t="0" r="21590" b="26670"/>
            <wp:docPr id="2"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p>
    <w:p w14:paraId="56EE5EB0" w14:textId="77777777" w:rsidR="00FE132C" w:rsidRPr="0054000D" w:rsidRDefault="00FE132C" w:rsidP="00FE132C">
      <w:pPr>
        <w:spacing w:after="0" w:line="240" w:lineRule="auto"/>
        <w:ind w:firstLine="709"/>
        <w:rPr>
          <w:rFonts w:ascii="Tahoma" w:hAnsi="Tahoma" w:cs="Tahoma"/>
          <w:b/>
          <w:bCs/>
          <w:sz w:val="14"/>
          <w:szCs w:val="14"/>
        </w:rPr>
      </w:pPr>
      <w:r w:rsidRPr="0054000D">
        <w:rPr>
          <w:rFonts w:ascii="Tahoma" w:hAnsi="Tahoma" w:cs="Tahoma"/>
          <w:b/>
          <w:bCs/>
          <w:sz w:val="14"/>
          <w:szCs w:val="14"/>
        </w:rPr>
        <w:t>Gráfico 1 Superávit Primário, Juros Nominais e Déficit Público</w:t>
      </w:r>
    </w:p>
    <w:p w14:paraId="11B36446" w14:textId="77777777" w:rsidR="00FE132C" w:rsidRPr="0054000D" w:rsidRDefault="00FE132C" w:rsidP="00FE132C">
      <w:pPr>
        <w:spacing w:after="0" w:line="240" w:lineRule="auto"/>
        <w:ind w:firstLine="709"/>
        <w:jc w:val="both"/>
        <w:rPr>
          <w:rFonts w:ascii="Tahoma" w:hAnsi="Tahoma" w:cs="Tahoma"/>
          <w:sz w:val="12"/>
          <w:szCs w:val="14"/>
        </w:rPr>
      </w:pPr>
      <w:r w:rsidRPr="0054000D">
        <w:rPr>
          <w:rFonts w:ascii="Tahoma" w:hAnsi="Tahoma" w:cs="Tahoma"/>
          <w:sz w:val="12"/>
          <w:szCs w:val="14"/>
        </w:rPr>
        <w:t>Fonte: Secretaria do Tesouro Nacional</w:t>
      </w:r>
    </w:p>
    <w:p w14:paraId="2A1A9F35" w14:textId="77777777" w:rsidR="00FE132C" w:rsidRPr="0054000D" w:rsidRDefault="00FE132C" w:rsidP="00FE132C">
      <w:pPr>
        <w:spacing w:after="0" w:line="240" w:lineRule="auto"/>
        <w:ind w:firstLine="709"/>
        <w:jc w:val="both"/>
        <w:rPr>
          <w:rFonts w:ascii="Tahoma" w:hAnsi="Tahoma" w:cs="Tahoma"/>
          <w:sz w:val="12"/>
          <w:szCs w:val="14"/>
        </w:rPr>
      </w:pPr>
      <w:r w:rsidRPr="0054000D">
        <w:rPr>
          <w:rFonts w:ascii="Tahoma" w:hAnsi="Tahoma" w:cs="Tahoma"/>
          <w:sz w:val="12"/>
          <w:szCs w:val="14"/>
        </w:rPr>
        <w:t>OBS: Os dados de 2024 referem-se ao acumulado entre os meses de janeiro a setembro</w:t>
      </w:r>
    </w:p>
    <w:p w14:paraId="4CA45A19" w14:textId="77777777" w:rsidR="000151D3" w:rsidRDefault="000151D3" w:rsidP="00D93366">
      <w:pPr>
        <w:spacing w:after="120"/>
        <w:ind w:firstLine="709"/>
        <w:jc w:val="both"/>
        <w:rPr>
          <w:rFonts w:cs="Tahoma"/>
          <w:szCs w:val="20"/>
        </w:rPr>
      </w:pPr>
    </w:p>
    <w:p w14:paraId="2F1FE38A" w14:textId="1521BF57" w:rsidR="00FE132C" w:rsidRPr="00FE132C" w:rsidRDefault="00FE132C" w:rsidP="00D93366">
      <w:pPr>
        <w:spacing w:after="120"/>
        <w:ind w:firstLine="709"/>
        <w:jc w:val="both"/>
        <w:rPr>
          <w:rFonts w:cs="Tahoma"/>
          <w:szCs w:val="20"/>
        </w:rPr>
      </w:pPr>
      <w:r w:rsidRPr="00FE132C">
        <w:rPr>
          <w:rFonts w:cs="Tahoma"/>
          <w:szCs w:val="20"/>
        </w:rPr>
        <w:t xml:space="preserve">As estimativas mais recentes do mercado indicam um déficit primário até dezembro de 2024 superior a R$ 66 bilhões, ou seja, bem acima da meta do novo arcabouço fiscal, cuja lei orçamentária previu um pequeno superávit de R$ 2,8 bilhões dentro da lógica de um “resultado neutro”. A previsão do mercado também supera com folga a última estimativa oficial do governo, cuja divulgação ocorrida em julho sinalizava um déficit de cerca de R$ 29 bilhões, correspondente a 0,25% do PIB, ou seja, no limite inferior da meta. Para 2025 as previsões são ainda mais pessimistas, com o mercado prevendo um déficit primário da ordem de R$ 93 bilhões. Já no que tange à dívida bruta do governo geral (DBGG), indicador que reflete o estoque de endividamento público, a projeção do mercado é que ele atinja a marca de 77,91% do PIB ao final de 2024 e de 80,61% em 2025, reforçando </w:t>
      </w:r>
      <w:r w:rsidR="000151D3">
        <w:rPr>
          <w:rFonts w:cs="Tahoma"/>
          <w:szCs w:val="20"/>
        </w:rPr>
        <w:t>a</w:t>
      </w:r>
      <w:r w:rsidRPr="00FE132C">
        <w:rPr>
          <w:rFonts w:cs="Tahoma"/>
          <w:szCs w:val="20"/>
        </w:rPr>
        <w:t xml:space="preserve">s </w:t>
      </w:r>
      <w:proofErr w:type="spellStart"/>
      <w:r w:rsidRPr="00FE132C">
        <w:rPr>
          <w:rFonts w:cs="Tahoma"/>
          <w:szCs w:val="20"/>
        </w:rPr>
        <w:t>duvidas</w:t>
      </w:r>
      <w:proofErr w:type="spellEnd"/>
      <w:r w:rsidRPr="00FE132C">
        <w:rPr>
          <w:rFonts w:cs="Tahoma"/>
          <w:szCs w:val="20"/>
        </w:rPr>
        <w:t xml:space="preserve"> quanto à efetividade do novo pacto fiscal, tanto no que tange ao corte de gastos</w:t>
      </w:r>
      <w:r w:rsidR="000151D3">
        <w:rPr>
          <w:rFonts w:cs="Tahoma"/>
          <w:szCs w:val="20"/>
        </w:rPr>
        <w:t xml:space="preserve"> quanto</w:t>
      </w:r>
      <w:r w:rsidRPr="00FE132C">
        <w:rPr>
          <w:rFonts w:cs="Tahoma"/>
          <w:szCs w:val="20"/>
        </w:rPr>
        <w:t xml:space="preserve"> ao aumento da arrecadação.</w:t>
      </w:r>
    </w:p>
    <w:p w14:paraId="0901FDC1" w14:textId="0FAD26E7" w:rsidR="00FE132C" w:rsidRDefault="000151D3" w:rsidP="00D93366">
      <w:pPr>
        <w:spacing w:after="120"/>
        <w:ind w:firstLine="709"/>
        <w:jc w:val="both"/>
        <w:rPr>
          <w:rFonts w:cs="Tahoma"/>
          <w:szCs w:val="20"/>
        </w:rPr>
      </w:pPr>
      <w:proofErr w:type="gramStart"/>
      <w:r>
        <w:rPr>
          <w:rFonts w:cs="Tahoma"/>
          <w:szCs w:val="20"/>
        </w:rPr>
        <w:t>A</w:t>
      </w:r>
      <w:proofErr w:type="gramEnd"/>
      <w:r w:rsidR="00FE132C" w:rsidRPr="00FE132C">
        <w:rPr>
          <w:rFonts w:cs="Tahoma"/>
          <w:szCs w:val="20"/>
        </w:rPr>
        <w:t xml:space="preserve"> medida que a expectativa </w:t>
      </w:r>
      <w:r>
        <w:rPr>
          <w:rFonts w:cs="Tahoma"/>
          <w:szCs w:val="20"/>
        </w:rPr>
        <w:t>de</w:t>
      </w:r>
      <w:r w:rsidR="00FE132C" w:rsidRPr="00FE132C">
        <w:rPr>
          <w:rFonts w:cs="Tahoma"/>
          <w:szCs w:val="20"/>
        </w:rPr>
        <w:t xml:space="preserve"> redução da Selic já havia sido em boa parte precificada ao longo de 2023</w:t>
      </w:r>
      <w:r>
        <w:rPr>
          <w:rFonts w:cs="Tahoma"/>
          <w:szCs w:val="20"/>
        </w:rPr>
        <w:t>,</w:t>
      </w:r>
      <w:r w:rsidR="00FE132C" w:rsidRPr="00FE132C">
        <w:rPr>
          <w:rFonts w:cs="Tahoma"/>
          <w:szCs w:val="20"/>
        </w:rPr>
        <w:t xml:space="preserve"> e </w:t>
      </w:r>
      <w:r>
        <w:rPr>
          <w:rFonts w:cs="Tahoma"/>
          <w:szCs w:val="20"/>
        </w:rPr>
        <w:t xml:space="preserve">considerando </w:t>
      </w:r>
      <w:r w:rsidR="00FE132C" w:rsidRPr="00FE132C">
        <w:rPr>
          <w:rFonts w:cs="Tahoma"/>
          <w:szCs w:val="20"/>
        </w:rPr>
        <w:t xml:space="preserve">a estagnação da taxa seguida de novos aumentos no segundo semestre desse ano, os títulos de maior prazo registraram menor procura </w:t>
      </w:r>
      <w:r>
        <w:rPr>
          <w:rFonts w:cs="Tahoma"/>
          <w:szCs w:val="20"/>
        </w:rPr>
        <w:t>em comparação às</w:t>
      </w:r>
      <w:r w:rsidR="00FE132C" w:rsidRPr="00FE132C">
        <w:rPr>
          <w:rFonts w:cs="Tahoma"/>
          <w:szCs w:val="20"/>
        </w:rPr>
        <w:t xml:space="preserve"> opções de prazos mais curtos e, por conseguinte, menores retornos. Soma-se a isso a referida situação fiscal do país, que eleva a percepção de risco do investidor tornando preferível as carteiras atreladas as opções de menores prazos. Assim, diferentemente de 2023, com exceção do IMA-S, subíndice que sinaliza as opções de curtíssimo prazo atreladas à variação diária da Selic, todos os demais indicadores IMA estão abaixo da meta atuarial, que em regra correspondem à variação do IPCA acrescida de um spread de 6% ao ano.</w:t>
      </w:r>
    </w:p>
    <w:p w14:paraId="422FDA8D" w14:textId="77777777" w:rsidR="00A3106D" w:rsidRDefault="00A3106D" w:rsidP="00A3106D">
      <w:pPr>
        <w:spacing w:after="0" w:line="240" w:lineRule="auto"/>
        <w:rPr>
          <w:rFonts w:ascii="Tahoma" w:hAnsi="Tahoma" w:cs="Tahoma"/>
          <w:b/>
          <w:bCs/>
          <w:sz w:val="18"/>
          <w:szCs w:val="18"/>
        </w:rPr>
      </w:pPr>
      <w:r w:rsidRPr="00A3106D">
        <w:rPr>
          <w:noProof/>
        </w:rPr>
        <w:lastRenderedPageBreak/>
        <w:drawing>
          <wp:inline distT="0" distB="0" distL="0" distR="0" wp14:anchorId="0305C37D" wp14:editId="10637D26">
            <wp:extent cx="5010150" cy="2165357"/>
            <wp:effectExtent l="0" t="0" r="0" b="6350"/>
            <wp:docPr id="228369789"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5041622" cy="2178959"/>
                    </a:xfrm>
                    <a:prstGeom prst="rect">
                      <a:avLst/>
                    </a:prstGeom>
                    <a:noFill/>
                    <a:ln>
                      <a:noFill/>
                    </a:ln>
                  </pic:spPr>
                </pic:pic>
              </a:graphicData>
            </a:graphic>
          </wp:inline>
        </w:drawing>
      </w:r>
    </w:p>
    <w:p w14:paraId="4C2D1882" w14:textId="53C4DBC4" w:rsidR="00FE132C" w:rsidRPr="0054000D" w:rsidRDefault="00FE132C" w:rsidP="00A3106D">
      <w:pPr>
        <w:spacing w:after="0" w:line="240" w:lineRule="auto"/>
        <w:rPr>
          <w:rFonts w:ascii="Tahoma" w:hAnsi="Tahoma" w:cs="Tahoma"/>
          <w:b/>
          <w:bCs/>
          <w:sz w:val="14"/>
          <w:szCs w:val="14"/>
        </w:rPr>
      </w:pPr>
      <w:r w:rsidRPr="0054000D">
        <w:rPr>
          <w:rFonts w:ascii="Tahoma" w:hAnsi="Tahoma" w:cs="Tahoma"/>
          <w:b/>
          <w:bCs/>
          <w:sz w:val="14"/>
          <w:szCs w:val="14"/>
        </w:rPr>
        <w:t xml:space="preserve">Tabela 1: Indicadores </w:t>
      </w:r>
      <w:proofErr w:type="spellStart"/>
      <w:r w:rsidRPr="0054000D">
        <w:rPr>
          <w:rFonts w:ascii="Tahoma" w:hAnsi="Tahoma" w:cs="Tahoma"/>
          <w:b/>
          <w:bCs/>
          <w:sz w:val="14"/>
          <w:szCs w:val="14"/>
        </w:rPr>
        <w:t>Anbima</w:t>
      </w:r>
      <w:proofErr w:type="spellEnd"/>
      <w:r w:rsidRPr="0054000D">
        <w:rPr>
          <w:rFonts w:ascii="Tahoma" w:hAnsi="Tahoma" w:cs="Tahoma"/>
          <w:b/>
          <w:bCs/>
          <w:sz w:val="14"/>
          <w:szCs w:val="14"/>
        </w:rPr>
        <w:t xml:space="preserve"> x Meta Atuarial</w:t>
      </w:r>
    </w:p>
    <w:p w14:paraId="791204F9" w14:textId="77777777" w:rsidR="00FE132C" w:rsidRPr="0054000D" w:rsidRDefault="00FE132C" w:rsidP="00A3106D">
      <w:pPr>
        <w:spacing w:after="0" w:line="240" w:lineRule="auto"/>
        <w:jc w:val="both"/>
        <w:rPr>
          <w:rFonts w:ascii="Tahoma" w:hAnsi="Tahoma" w:cs="Tahoma"/>
          <w:sz w:val="12"/>
          <w:szCs w:val="14"/>
        </w:rPr>
      </w:pPr>
      <w:r w:rsidRPr="0054000D">
        <w:rPr>
          <w:rFonts w:ascii="Tahoma" w:hAnsi="Tahoma" w:cs="Tahoma"/>
          <w:sz w:val="12"/>
          <w:szCs w:val="14"/>
        </w:rPr>
        <w:t xml:space="preserve">Fonte: </w:t>
      </w:r>
      <w:proofErr w:type="spellStart"/>
      <w:r w:rsidRPr="0054000D">
        <w:rPr>
          <w:rFonts w:ascii="Tahoma" w:hAnsi="Tahoma" w:cs="Tahoma"/>
          <w:sz w:val="12"/>
          <w:szCs w:val="14"/>
        </w:rPr>
        <w:t>Anbima</w:t>
      </w:r>
      <w:proofErr w:type="spellEnd"/>
    </w:p>
    <w:p w14:paraId="55705489" w14:textId="4355BBD1" w:rsidR="00FE132C" w:rsidRPr="0054000D" w:rsidRDefault="00FE132C" w:rsidP="00A3106D">
      <w:pPr>
        <w:spacing w:after="120"/>
        <w:rPr>
          <w:rFonts w:cs="Tahoma"/>
          <w:sz w:val="18"/>
          <w:szCs w:val="16"/>
        </w:rPr>
      </w:pPr>
      <w:r w:rsidRPr="0054000D">
        <w:rPr>
          <w:rFonts w:ascii="Tahoma" w:hAnsi="Tahoma" w:cs="Tahoma"/>
          <w:sz w:val="12"/>
          <w:szCs w:val="14"/>
        </w:rPr>
        <w:t xml:space="preserve">Janeiro a </w:t>
      </w:r>
      <w:proofErr w:type="gramStart"/>
      <w:r w:rsidRPr="0054000D">
        <w:rPr>
          <w:rFonts w:ascii="Tahoma" w:hAnsi="Tahoma" w:cs="Tahoma"/>
          <w:sz w:val="12"/>
          <w:szCs w:val="14"/>
        </w:rPr>
        <w:t>Outubro</w:t>
      </w:r>
      <w:proofErr w:type="gramEnd"/>
      <w:r w:rsidRPr="0054000D">
        <w:rPr>
          <w:rFonts w:ascii="Tahoma" w:hAnsi="Tahoma" w:cs="Tahoma"/>
          <w:sz w:val="12"/>
          <w:szCs w:val="14"/>
        </w:rPr>
        <w:t xml:space="preserve"> de 2024 – IPCA de outubro estimado com base no IPCA-15</w:t>
      </w:r>
    </w:p>
    <w:p w14:paraId="2E32AF44" w14:textId="3E832385" w:rsidR="00FE132C" w:rsidRPr="00FE132C" w:rsidRDefault="00FE132C" w:rsidP="00D93366">
      <w:pPr>
        <w:spacing w:after="120"/>
        <w:ind w:firstLine="709"/>
        <w:jc w:val="both"/>
        <w:rPr>
          <w:rFonts w:cs="Tahoma"/>
          <w:szCs w:val="20"/>
        </w:rPr>
      </w:pPr>
      <w:r w:rsidRPr="00FE132C">
        <w:rPr>
          <w:rFonts w:cs="Tahoma"/>
          <w:szCs w:val="20"/>
        </w:rPr>
        <w:t>Em linhas gerais, conclui-se que o Brasil mais uma vez terá como principal desafio para 2025 o ajuste das contas públicas, conciliando a adoção de pol</w:t>
      </w:r>
      <w:r w:rsidR="00A3106D">
        <w:rPr>
          <w:rFonts w:cs="Tahoma"/>
          <w:szCs w:val="20"/>
        </w:rPr>
        <w:t>í</w:t>
      </w:r>
      <w:r w:rsidRPr="00FE132C">
        <w:rPr>
          <w:rFonts w:cs="Tahoma"/>
          <w:szCs w:val="20"/>
        </w:rPr>
        <w:t>ticas que visem o crescimento econômico, mas que não extrapolem a utilização da já combalida via fiscal. Importante registrar a calamidade pública decorrente das enchentes no Estado do Rio Grande do Sul, que também contribuiu com a elevação do déficit primário inicialmente previsto, seja pela não cobrança temporária da d</w:t>
      </w:r>
      <w:r w:rsidR="00A3106D">
        <w:rPr>
          <w:rFonts w:cs="Tahoma"/>
          <w:szCs w:val="20"/>
        </w:rPr>
        <w:t>í</w:t>
      </w:r>
      <w:r w:rsidRPr="00FE132C">
        <w:rPr>
          <w:rFonts w:cs="Tahoma"/>
          <w:szCs w:val="20"/>
        </w:rPr>
        <w:t>vida do Estado com a União</w:t>
      </w:r>
      <w:r w:rsidR="00A3106D">
        <w:rPr>
          <w:rFonts w:cs="Tahoma"/>
          <w:szCs w:val="20"/>
        </w:rPr>
        <w:t>,</w:t>
      </w:r>
      <w:r w:rsidRPr="00FE132C">
        <w:rPr>
          <w:rFonts w:cs="Tahoma"/>
          <w:szCs w:val="20"/>
        </w:rPr>
        <w:t xml:space="preserve"> seja pelas inversões e demais repasses realizados pelo Governo Federal. A propósito, a preocupação com a via fiscal é inclusive referendada na publicação da OCDE e de maneira não restrita ao Brasil. Isso porque, passada a pandemia e todos os ajustes macroeconômicos realizados ao redor do mundo, a percepção é que as nações precisam se reorganizar do ponto de vista fiscal, ao passo de estarem preparadas para eventuais percalços que venham a ensejar novas intervenções estatais, sobretudo a partir das questões climáticas, cujas adversidades têm se materializado com cada vez mais frequência.</w:t>
      </w:r>
    </w:p>
    <w:p w14:paraId="762EC3C3" w14:textId="7E37C03A" w:rsidR="00FE132C" w:rsidRDefault="00FE132C" w:rsidP="00D93366">
      <w:pPr>
        <w:spacing w:after="120"/>
        <w:ind w:firstLine="709"/>
        <w:jc w:val="both"/>
        <w:rPr>
          <w:rFonts w:cs="Tahoma"/>
          <w:szCs w:val="20"/>
        </w:rPr>
      </w:pPr>
      <w:r w:rsidRPr="00FE132C">
        <w:rPr>
          <w:rFonts w:cs="Tahoma"/>
          <w:szCs w:val="20"/>
        </w:rPr>
        <w:t>A expectativa é que o país consiga fomentar o PIB preferencialmente</w:t>
      </w:r>
      <w:r w:rsidR="00A3106D">
        <w:rPr>
          <w:rFonts w:cs="Tahoma"/>
          <w:szCs w:val="20"/>
        </w:rPr>
        <w:t>,</w:t>
      </w:r>
      <w:r w:rsidRPr="00FE132C">
        <w:rPr>
          <w:rFonts w:cs="Tahoma"/>
          <w:szCs w:val="20"/>
        </w:rPr>
        <w:t xml:space="preserve"> pela via monetária, contudo, sempre atento às pressões inflacionárias, para que as reduções da Selic não possuam efeitos colaterais superiores aos seus benefícios intrínsecos. Além de facilitar o crédito e incentivar o consumo das famílias, a redução da Selic também alivia o custo de rolagem da d</w:t>
      </w:r>
      <w:r w:rsidR="00A3106D">
        <w:rPr>
          <w:rFonts w:cs="Tahoma"/>
          <w:szCs w:val="20"/>
        </w:rPr>
        <w:t>í</w:t>
      </w:r>
      <w:r w:rsidRPr="00FE132C">
        <w:rPr>
          <w:rFonts w:cs="Tahoma"/>
          <w:szCs w:val="20"/>
        </w:rPr>
        <w:t>vida pública, diminuindo a percepção de risco do investidor e corroborando uma melhor relação cambial. Nesse sentido, ressalta-se a tendência de manutenção de juros em queda</w:t>
      </w:r>
      <w:r w:rsidR="00A3106D">
        <w:rPr>
          <w:rFonts w:cs="Tahoma"/>
          <w:szCs w:val="20"/>
        </w:rPr>
        <w:t>,</w:t>
      </w:r>
      <w:r w:rsidRPr="00FE132C">
        <w:rPr>
          <w:rFonts w:cs="Tahoma"/>
          <w:szCs w:val="20"/>
        </w:rPr>
        <w:t xml:space="preserve"> tanto nos EUA como na Zona do Euro, haja vista as previsões otimistas quanto à inflação, o que reduz o risco de evasão de recursos nas economias emergentes.</w:t>
      </w:r>
    </w:p>
    <w:p w14:paraId="77D2743A" w14:textId="1F62B954" w:rsidR="00FE132C" w:rsidRPr="00FE132C" w:rsidRDefault="00FE132C" w:rsidP="000C021C">
      <w:pPr>
        <w:pStyle w:val="Ttulo2"/>
        <w:rPr>
          <w:rFonts w:ascii="Tahoma" w:hAnsi="Tahoma" w:cs="Tahoma"/>
          <w:b/>
          <w:sz w:val="20"/>
          <w:szCs w:val="20"/>
        </w:rPr>
      </w:pPr>
      <w:bookmarkStart w:id="15" w:name="_Toc181542565"/>
      <w:r w:rsidRPr="000C021C">
        <w:rPr>
          <w:rFonts w:ascii="Tahoma" w:hAnsi="Tahoma" w:cs="Tahoma"/>
          <w:b/>
          <w:color w:val="auto"/>
          <w:sz w:val="20"/>
          <w:szCs w:val="20"/>
        </w:rPr>
        <w:t>Economia Mundial e taxa de câmbio</w:t>
      </w:r>
      <w:bookmarkEnd w:id="15"/>
    </w:p>
    <w:p w14:paraId="44BB93F7" w14:textId="23F4A903" w:rsidR="00FE132C" w:rsidRPr="00FE132C" w:rsidRDefault="00FE132C" w:rsidP="00D93366">
      <w:pPr>
        <w:spacing w:after="120"/>
        <w:ind w:firstLine="709"/>
        <w:jc w:val="both"/>
        <w:rPr>
          <w:rFonts w:cs="Tahoma"/>
          <w:szCs w:val="20"/>
        </w:rPr>
      </w:pPr>
      <w:r w:rsidRPr="00FE132C">
        <w:rPr>
          <w:rFonts w:cs="Tahoma"/>
          <w:szCs w:val="20"/>
        </w:rPr>
        <w:t>Em linha com a OCDE, o Fundo Monetário Internacional (FMI), por intermédio do relatório “Perspectivas Econômicas Globais” divulgado em outubro, indica uma expansão do PIB mundial de 3,2% para 2024. Da mesma forma, também indica idêntica taxa de crescimento para 2025, sinalizando, mais uma vez</w:t>
      </w:r>
      <w:r w:rsidR="00A3106D">
        <w:rPr>
          <w:rFonts w:cs="Tahoma"/>
          <w:szCs w:val="20"/>
        </w:rPr>
        <w:t>,</w:t>
      </w:r>
      <w:r w:rsidRPr="00FE132C">
        <w:rPr>
          <w:rFonts w:cs="Tahoma"/>
          <w:szCs w:val="20"/>
        </w:rPr>
        <w:t xml:space="preserve"> de forma análoga a OCDE, a crença de que a inflação em termos globais está de fato sob controle, com a adoção de pol</w:t>
      </w:r>
      <w:r w:rsidR="00A3106D">
        <w:rPr>
          <w:rFonts w:cs="Tahoma"/>
          <w:szCs w:val="20"/>
        </w:rPr>
        <w:t>í</w:t>
      </w:r>
      <w:r w:rsidRPr="00FE132C">
        <w:rPr>
          <w:rFonts w:cs="Tahoma"/>
          <w:szCs w:val="20"/>
        </w:rPr>
        <w:t>ticas monetárias menos restritivas constituindo-se em tendência a médio e longo prazos.</w:t>
      </w:r>
    </w:p>
    <w:p w14:paraId="6B284025" w14:textId="3BD99F9D" w:rsidR="00FE132C" w:rsidRPr="00FE132C" w:rsidRDefault="00FE132C" w:rsidP="00D93366">
      <w:pPr>
        <w:spacing w:after="120"/>
        <w:ind w:firstLine="709"/>
        <w:jc w:val="both"/>
        <w:rPr>
          <w:rFonts w:cs="Tahoma"/>
          <w:szCs w:val="20"/>
        </w:rPr>
      </w:pPr>
      <w:r w:rsidRPr="00FE132C">
        <w:rPr>
          <w:rFonts w:cs="Tahoma"/>
          <w:szCs w:val="20"/>
        </w:rPr>
        <w:t xml:space="preserve">No geral, o relatório do FMI aponta relativa estabilidade econômica até o final de 2025, sendo dado papel de destaque para economia </w:t>
      </w:r>
      <w:r w:rsidR="00A3106D">
        <w:rPr>
          <w:rFonts w:cs="Tahoma"/>
          <w:szCs w:val="20"/>
        </w:rPr>
        <w:t>N</w:t>
      </w:r>
      <w:r w:rsidRPr="00FE132C">
        <w:rPr>
          <w:rFonts w:cs="Tahoma"/>
          <w:szCs w:val="20"/>
        </w:rPr>
        <w:t xml:space="preserve">orte </w:t>
      </w:r>
      <w:r w:rsidR="00A3106D">
        <w:rPr>
          <w:rFonts w:cs="Tahoma"/>
          <w:szCs w:val="20"/>
        </w:rPr>
        <w:t>A</w:t>
      </w:r>
      <w:r w:rsidRPr="00FE132C">
        <w:rPr>
          <w:rFonts w:cs="Tahoma"/>
          <w:szCs w:val="20"/>
        </w:rPr>
        <w:t xml:space="preserve">mericana, cuja resiliência do mercado de trabalho e </w:t>
      </w:r>
      <w:r w:rsidRPr="00FE132C">
        <w:rPr>
          <w:rFonts w:cs="Tahoma"/>
          <w:szCs w:val="20"/>
        </w:rPr>
        <w:lastRenderedPageBreak/>
        <w:t>do consumo das famílias caracterizou um chamado “pouso suave” da economia doméstica, que em meio a pol</w:t>
      </w:r>
      <w:r w:rsidR="00A3106D">
        <w:rPr>
          <w:rFonts w:cs="Tahoma"/>
          <w:szCs w:val="20"/>
        </w:rPr>
        <w:t>í</w:t>
      </w:r>
      <w:r w:rsidRPr="00FE132C">
        <w:rPr>
          <w:rFonts w:cs="Tahoma"/>
          <w:szCs w:val="20"/>
        </w:rPr>
        <w:t xml:space="preserve">tica monetária contracionista adotada pelo FED como principal mecanismo de combate à inflação, nunca deixou de registrar crescimento. </w:t>
      </w:r>
    </w:p>
    <w:p w14:paraId="0231CE58" w14:textId="761C90C0" w:rsidR="00FE132C" w:rsidRPr="00FE132C" w:rsidRDefault="00FE132C" w:rsidP="00D93366">
      <w:pPr>
        <w:spacing w:after="120"/>
        <w:ind w:firstLine="709"/>
        <w:jc w:val="both"/>
        <w:rPr>
          <w:rFonts w:cs="Tahoma"/>
          <w:szCs w:val="20"/>
        </w:rPr>
      </w:pPr>
      <w:r w:rsidRPr="00FE132C">
        <w:rPr>
          <w:rFonts w:cs="Tahoma"/>
          <w:szCs w:val="20"/>
        </w:rPr>
        <w:t xml:space="preserve">Assim, em linha com a expectativa de continuidade de queda dos juros </w:t>
      </w:r>
      <w:proofErr w:type="spellStart"/>
      <w:r w:rsidRPr="00FE132C">
        <w:rPr>
          <w:rFonts w:cs="Tahoma"/>
          <w:szCs w:val="20"/>
        </w:rPr>
        <w:t>norte americanos</w:t>
      </w:r>
      <w:proofErr w:type="spellEnd"/>
      <w:r w:rsidRPr="00FE132C">
        <w:rPr>
          <w:rFonts w:cs="Tahoma"/>
          <w:szCs w:val="20"/>
        </w:rPr>
        <w:t>, a tendência é de expansão da atividade econômica, sendo previstos crescimento de 2,8% e 2,2% para os anos de 2024 e 2025, respectivamente. A incerteza maior quanto à 2025 diz respeito às eleições presidenciais do país, cujos recentes debates tem levantado a possibilidade</w:t>
      </w:r>
      <w:r w:rsidR="00A3106D">
        <w:rPr>
          <w:rFonts w:cs="Tahoma"/>
          <w:szCs w:val="20"/>
        </w:rPr>
        <w:t xml:space="preserve"> de</w:t>
      </w:r>
      <w:r w:rsidRPr="00FE132C">
        <w:rPr>
          <w:rFonts w:cs="Tahoma"/>
          <w:szCs w:val="20"/>
        </w:rPr>
        <w:t xml:space="preserve"> maiores conflitos comercias com a China, como por exemplo, o estabelecimento de barreiras tarifárias, que no limite, trariam prejuízos a ambas as economias. </w:t>
      </w:r>
    </w:p>
    <w:p w14:paraId="4BC5C608" w14:textId="77F99B23" w:rsidR="00FE132C" w:rsidRPr="00FE132C" w:rsidRDefault="00FE132C" w:rsidP="00D93366">
      <w:pPr>
        <w:spacing w:after="120"/>
        <w:ind w:firstLine="709"/>
        <w:jc w:val="both"/>
        <w:rPr>
          <w:rFonts w:cs="Tahoma"/>
          <w:szCs w:val="20"/>
        </w:rPr>
      </w:pPr>
      <w:r w:rsidRPr="00FE132C">
        <w:rPr>
          <w:rFonts w:cs="Tahoma"/>
          <w:szCs w:val="20"/>
        </w:rPr>
        <w:t xml:space="preserve">Sobre a China, a perspectiva traçada pelo FMI dialoga com a característica central do relatório emitido pela instituição: a ocorrência de crescimentos díspares entre as regiões, que além de reforçarem a liderança momentaneamente atribuída a economia </w:t>
      </w:r>
      <w:r w:rsidR="00A3106D">
        <w:rPr>
          <w:rFonts w:cs="Tahoma"/>
          <w:szCs w:val="20"/>
        </w:rPr>
        <w:t>N</w:t>
      </w:r>
      <w:r w:rsidRPr="00FE132C">
        <w:rPr>
          <w:rFonts w:cs="Tahoma"/>
          <w:szCs w:val="20"/>
        </w:rPr>
        <w:t xml:space="preserve">orte </w:t>
      </w:r>
      <w:r w:rsidR="00A3106D">
        <w:rPr>
          <w:rFonts w:cs="Tahoma"/>
          <w:szCs w:val="20"/>
        </w:rPr>
        <w:t>A</w:t>
      </w:r>
      <w:r w:rsidRPr="00FE132C">
        <w:rPr>
          <w:rFonts w:cs="Tahoma"/>
          <w:szCs w:val="20"/>
        </w:rPr>
        <w:t>mericana, ajudam a explicar porque as previsões globais acabaram não sendo mais otimistas. Novamente</w:t>
      </w:r>
      <w:r w:rsidR="00A3106D">
        <w:rPr>
          <w:rFonts w:cs="Tahoma"/>
          <w:szCs w:val="20"/>
        </w:rPr>
        <w:t>,</w:t>
      </w:r>
      <w:r w:rsidRPr="00FE132C">
        <w:rPr>
          <w:rFonts w:cs="Tahoma"/>
          <w:szCs w:val="20"/>
        </w:rPr>
        <w:t xml:space="preserve"> seguindo a linha da OCDE, o FMI faz referência ao baixo ritmo da atividade doméstica chinesa, cuja forte crise do mercado imobiliário aumentou ainda mais a dependência do setor externo, que por sua vez ainda não confere a estabilidade necessária para fazer das exportações chinesas seu principal carro chefe de crescimento</w:t>
      </w:r>
      <w:r w:rsidR="00A3106D">
        <w:rPr>
          <w:rFonts w:cs="Tahoma"/>
          <w:szCs w:val="20"/>
        </w:rPr>
        <w:t>,</w:t>
      </w:r>
      <w:r w:rsidRPr="00FE132C">
        <w:rPr>
          <w:rFonts w:cs="Tahoma"/>
          <w:szCs w:val="20"/>
        </w:rPr>
        <w:t xml:space="preserve"> como acontecido em anos anteriores.</w:t>
      </w:r>
    </w:p>
    <w:p w14:paraId="7D4B065C" w14:textId="678AD1FD" w:rsidR="00FE132C" w:rsidRPr="00FE132C" w:rsidRDefault="00FE132C" w:rsidP="00D93366">
      <w:pPr>
        <w:spacing w:after="120"/>
        <w:ind w:firstLine="709"/>
        <w:jc w:val="both"/>
        <w:rPr>
          <w:rFonts w:cs="Tahoma"/>
          <w:szCs w:val="20"/>
        </w:rPr>
      </w:pPr>
      <w:r w:rsidRPr="00FE132C">
        <w:rPr>
          <w:rFonts w:cs="Tahoma"/>
          <w:szCs w:val="20"/>
        </w:rPr>
        <w:t>Seguindo a tônica dos comportamentos d</w:t>
      </w:r>
      <w:r w:rsidR="00A3106D">
        <w:rPr>
          <w:rFonts w:cs="Tahoma"/>
          <w:szCs w:val="20"/>
        </w:rPr>
        <w:t>í</w:t>
      </w:r>
      <w:r w:rsidRPr="00FE132C">
        <w:rPr>
          <w:rFonts w:cs="Tahoma"/>
          <w:szCs w:val="20"/>
        </w:rPr>
        <w:t>spares, as previsões para</w:t>
      </w:r>
      <w:r w:rsidR="00A3106D">
        <w:rPr>
          <w:rFonts w:cs="Tahoma"/>
          <w:szCs w:val="20"/>
        </w:rPr>
        <w:t xml:space="preserve"> a</w:t>
      </w:r>
      <w:r w:rsidRPr="00FE132C">
        <w:rPr>
          <w:rFonts w:cs="Tahoma"/>
          <w:szCs w:val="20"/>
        </w:rPr>
        <w:t xml:space="preserve"> Zona do Euro indicam crescimentos bem inferiores aos previstos para economia </w:t>
      </w:r>
      <w:r w:rsidR="00A3106D">
        <w:rPr>
          <w:rFonts w:cs="Tahoma"/>
          <w:szCs w:val="20"/>
        </w:rPr>
        <w:t>N</w:t>
      </w:r>
      <w:r w:rsidRPr="00FE132C">
        <w:rPr>
          <w:rFonts w:cs="Tahoma"/>
          <w:szCs w:val="20"/>
        </w:rPr>
        <w:t xml:space="preserve">orte </w:t>
      </w:r>
      <w:r w:rsidR="00A3106D">
        <w:rPr>
          <w:rFonts w:cs="Tahoma"/>
          <w:szCs w:val="20"/>
        </w:rPr>
        <w:t>A</w:t>
      </w:r>
      <w:r w:rsidRPr="00FE132C">
        <w:rPr>
          <w:rFonts w:cs="Tahoma"/>
          <w:szCs w:val="20"/>
        </w:rPr>
        <w:t xml:space="preserve">mericana, sendo projetadas respectivas expansões do PIB de 0,8% para 2024 e de 1,2% para 2025. A Zona do Euro não teve o já referido </w:t>
      </w:r>
      <w:r w:rsidR="00A3106D">
        <w:rPr>
          <w:rFonts w:cs="Tahoma"/>
          <w:szCs w:val="20"/>
        </w:rPr>
        <w:t>“</w:t>
      </w:r>
      <w:r w:rsidRPr="00FE132C">
        <w:rPr>
          <w:rFonts w:cs="Tahoma"/>
          <w:szCs w:val="20"/>
        </w:rPr>
        <w:t>pouso suave</w:t>
      </w:r>
      <w:r w:rsidR="00A3106D">
        <w:rPr>
          <w:rFonts w:cs="Tahoma"/>
          <w:szCs w:val="20"/>
        </w:rPr>
        <w:t>”</w:t>
      </w:r>
      <w:r w:rsidRPr="00FE132C">
        <w:rPr>
          <w:rFonts w:cs="Tahoma"/>
          <w:szCs w:val="20"/>
        </w:rPr>
        <w:t xml:space="preserve"> observado nos EUA, uma vez que a região sentiu de maneira mais severa as adversidades impostas pela pol</w:t>
      </w:r>
      <w:r w:rsidR="00A3106D">
        <w:rPr>
          <w:rFonts w:cs="Tahoma"/>
          <w:szCs w:val="20"/>
        </w:rPr>
        <w:t>í</w:t>
      </w:r>
      <w:r w:rsidRPr="00FE132C">
        <w:rPr>
          <w:rFonts w:cs="Tahoma"/>
          <w:szCs w:val="20"/>
        </w:rPr>
        <w:t>tica monetária contracionista adotada pelo Banco Central Europeu (BCE), inclusive flertando com uma possível recessão econômica ao longo dos últimos anos. Assim, a retomada do ritmo de crescimento tende a ser mais lenta, respondendo de forma gradual à redução dos juros recentemente iniciada em 2024.</w:t>
      </w:r>
    </w:p>
    <w:p w14:paraId="423FE604" w14:textId="77777777" w:rsidR="00FE132C" w:rsidRPr="00FE132C" w:rsidRDefault="00FE132C" w:rsidP="00D93366">
      <w:pPr>
        <w:spacing w:after="120"/>
        <w:ind w:firstLine="709"/>
        <w:jc w:val="both"/>
        <w:rPr>
          <w:rFonts w:cs="Tahoma"/>
          <w:szCs w:val="20"/>
        </w:rPr>
      </w:pPr>
      <w:r w:rsidRPr="00FE132C">
        <w:rPr>
          <w:rFonts w:cs="Tahoma"/>
          <w:szCs w:val="20"/>
        </w:rPr>
        <w:t>Outra economia que segue com baixo ritmo de crescimento é o Japão, que inclusive teve sua expectativa de expansão reduzida frente à publicação anterior do FMI ocorrida em junho. Para 2024, a previsão é de um crescimento de apenas 0,3%, contudo, melhorando para 2025, quando a perspectiva de avanços nos salários reais e, por conseguinte, do mercado consumidor interno, tende a elevar a taxa de expansão do PIB em 1,1%. Todo esse cenário resultou em uma projeção de crescimento para as economias desenvolvidas de 1,8% para ambos os exercícios (2024/2025), seguindo a estabilidade prevista em termos globais.</w:t>
      </w:r>
    </w:p>
    <w:p w14:paraId="28680531" w14:textId="77777777" w:rsidR="00FE132C" w:rsidRPr="00FE132C" w:rsidRDefault="00FE132C" w:rsidP="00D93366">
      <w:pPr>
        <w:spacing w:after="120"/>
        <w:ind w:firstLine="709"/>
        <w:jc w:val="both"/>
        <w:rPr>
          <w:rFonts w:cs="Tahoma"/>
          <w:szCs w:val="20"/>
        </w:rPr>
      </w:pPr>
      <w:r w:rsidRPr="00FE132C">
        <w:rPr>
          <w:rFonts w:cs="Tahoma"/>
          <w:szCs w:val="20"/>
        </w:rPr>
        <w:t>Por sua vez, as economias emergentes também apresentam perspectivas distintas. Mais uma vez a Argentina consiste no único país do G20 com recessão estimada para 2024, mais especificamente sendo prevista retração da atividade econômica da ordem de -3,5%. Por outro lado, repetindo os últimos anos, a Índia segue na liderança das estimativas de crescimento, sendo previstas expansões do PIB de 6,7% e 6,5% para os anos de 2024 e 2025, respectivamente. A busca por novos mercados industriais tem direcionado diversas empresas a diversificarem suas plantas produtivas, diminuindo a dependência da China e tendo na Índia um de seus principais destinos. Além de salários bastante competitivos em relação à oferta global, a Índia tem historicamente fornecido qualificada mão de obra para empresas intensivas em tecnologia, sobretudo no desenvolvimento de softwares.</w:t>
      </w:r>
    </w:p>
    <w:p w14:paraId="399BE532" w14:textId="2A405243" w:rsidR="00FE132C" w:rsidRPr="00FE132C" w:rsidRDefault="00FE132C" w:rsidP="00D93366">
      <w:pPr>
        <w:spacing w:after="120"/>
        <w:ind w:firstLine="709"/>
        <w:jc w:val="both"/>
        <w:rPr>
          <w:rFonts w:cs="Tahoma"/>
          <w:szCs w:val="20"/>
        </w:rPr>
      </w:pPr>
      <w:r w:rsidRPr="00FE132C">
        <w:rPr>
          <w:rFonts w:cs="Tahoma"/>
          <w:szCs w:val="20"/>
        </w:rPr>
        <w:lastRenderedPageBreak/>
        <w:t>Dentre os riscos citados pelo FMI como as principais ameaças aos crescimentos ora projetados, as questões fiscais são aquelas que mais preocupam os países emergentes. Em situações onde o espaço fiscal é limitado, a adoção de pol</w:t>
      </w:r>
      <w:r w:rsidR="00801158">
        <w:rPr>
          <w:rFonts w:cs="Tahoma"/>
          <w:szCs w:val="20"/>
        </w:rPr>
        <w:t>í</w:t>
      </w:r>
      <w:r w:rsidRPr="00FE132C">
        <w:rPr>
          <w:rFonts w:cs="Tahoma"/>
          <w:szCs w:val="20"/>
        </w:rPr>
        <w:t>ticas de inventivos governamentais ao crescimento tornam-se mais difíceis de serem executadas, aumentando a dependência dos instrumentos monetários. Em situações de emergência, como recentemente demandado pela pandemia ou nos casos envolvendo severas crises climáticas, a incapacidade do poder público em fazer as inversões necessárias sem que a relação dívida</w:t>
      </w:r>
      <w:r w:rsidR="00801158">
        <w:rPr>
          <w:rFonts w:cs="Tahoma"/>
          <w:szCs w:val="20"/>
        </w:rPr>
        <w:t xml:space="preserve"> </w:t>
      </w:r>
      <w:r w:rsidR="00801158" w:rsidRPr="00801158">
        <w:rPr>
          <w:rFonts w:cs="Tahoma"/>
          <w:i/>
          <w:iCs/>
          <w:szCs w:val="20"/>
        </w:rPr>
        <w:t>versus</w:t>
      </w:r>
      <w:r w:rsidRPr="00FE132C">
        <w:rPr>
          <w:rFonts w:cs="Tahoma"/>
          <w:szCs w:val="20"/>
        </w:rPr>
        <w:t xml:space="preserve"> PIB atinja patamares insustentáveis, irá consistir em barreira de difícil remoção ao crescimento. </w:t>
      </w:r>
    </w:p>
    <w:p w14:paraId="2CB47214" w14:textId="50F459C4" w:rsidR="00FE132C" w:rsidRPr="00FE132C" w:rsidRDefault="00FE132C" w:rsidP="00D93366">
      <w:pPr>
        <w:spacing w:after="120"/>
        <w:ind w:firstLine="709"/>
        <w:jc w:val="both"/>
        <w:rPr>
          <w:rFonts w:cs="Tahoma"/>
          <w:szCs w:val="20"/>
        </w:rPr>
      </w:pPr>
      <w:r w:rsidRPr="00FE132C">
        <w:rPr>
          <w:rFonts w:cs="Tahoma"/>
          <w:szCs w:val="20"/>
        </w:rPr>
        <w:t xml:space="preserve">Outro ponto diz respeito ao menor grau de certeza quanto à inflação nas economias emergentes. Em outras palavras, não resta garantida a continuidade de queda dos juros de maneira uniforme, como </w:t>
      </w:r>
      <w:r w:rsidR="00801158">
        <w:rPr>
          <w:rFonts w:cs="Tahoma"/>
          <w:szCs w:val="20"/>
        </w:rPr>
        <w:t>é</w:t>
      </w:r>
      <w:r w:rsidRPr="00FE132C">
        <w:rPr>
          <w:rFonts w:cs="Tahoma"/>
          <w:szCs w:val="20"/>
        </w:rPr>
        <w:t xml:space="preserve"> o caso do Brasil, onde a retomada das pressões inflacionárias obrigou o BACEN a proceder novo aumentos dos juros em 2024, com novas altas sendo previstas até o final do corrente exercício. Em meio as peculiaridades de cada país, as previsões de crescimento para as economias emergentes são de 4,4% para 2024 e de 4,3% para 2025, com a China e, principalmente a Índia, puxando para cima a média do grupo, que superou a média estimada para as economias desenvolvidas. </w:t>
      </w:r>
    </w:p>
    <w:p w14:paraId="2189249C" w14:textId="77777777" w:rsidR="00FE132C" w:rsidRPr="00FE132C" w:rsidRDefault="00FE132C" w:rsidP="00D93366">
      <w:pPr>
        <w:spacing w:after="120"/>
        <w:ind w:firstLine="709"/>
        <w:jc w:val="both"/>
        <w:rPr>
          <w:rFonts w:cs="Tahoma"/>
          <w:szCs w:val="20"/>
        </w:rPr>
      </w:pPr>
      <w:r w:rsidRPr="00FE132C">
        <w:rPr>
          <w:rFonts w:cs="Tahoma"/>
          <w:szCs w:val="20"/>
        </w:rPr>
        <w:t>Além das questões fiscais, o FMI também destaca o acirramento das crises geopolíticas ao redor do mundo, o recrudescimento dos embates comerciais, em especial na relação entre China e EUA, e a volatilidade do mercado financeiro como as principais ameaças ao crescimento global, mas estas não restritas ou mais pesadamente sentidas pelas economias em desenvolvimento, estando ao alcance de todos os países.</w:t>
      </w:r>
    </w:p>
    <w:p w14:paraId="0C020251" w14:textId="7954B3C4" w:rsidR="00FE132C" w:rsidRDefault="00FE132C" w:rsidP="00D93366">
      <w:pPr>
        <w:spacing w:after="120"/>
        <w:ind w:firstLine="709"/>
        <w:jc w:val="both"/>
        <w:rPr>
          <w:rFonts w:cs="Tahoma"/>
          <w:szCs w:val="20"/>
        </w:rPr>
      </w:pPr>
      <w:r w:rsidRPr="00FE132C">
        <w:rPr>
          <w:rFonts w:cs="Tahoma"/>
          <w:szCs w:val="20"/>
        </w:rPr>
        <w:t>Em meio a um cenário internacional de inflação e juros em queda, a expectativa é que a pressão sobre o câmbio diminuísse em comparação a 2023, quando um cenário externo adverso implicou constante evasão de divisas do país, com os investidores buscando opções mais seguras e, naquele momento, também mais rentáveis. Todavia, mesmo que em 2024 os juros internacionais passassem a oferecer uma menor ameaça a competitividade das opções de investimento no Brasil</w:t>
      </w:r>
      <w:r w:rsidR="00801158">
        <w:rPr>
          <w:rFonts w:cs="Tahoma"/>
          <w:szCs w:val="20"/>
        </w:rPr>
        <w:t>,</w:t>
      </w:r>
      <w:r w:rsidRPr="00FE132C">
        <w:rPr>
          <w:rFonts w:cs="Tahoma"/>
          <w:szCs w:val="20"/>
        </w:rPr>
        <w:t xml:space="preserve"> as questões fiscais do país elevaram a percepção de risco dos agentes econômicos, que novamente optaram por alternativas mais seguras nas economias desenvolvidas. Soma-se a isso, uma pitada de incerteza advinda das eleições norte americanas, uma vez que a pauta econômica do candidato Donald Trump possui certo viés inflacionário, o que poderia conduzir os juros do país a um novo ciclo de alta.</w:t>
      </w:r>
    </w:p>
    <w:p w14:paraId="0F36209B" w14:textId="17C47DAF" w:rsidR="00FE132C" w:rsidRDefault="00FE132C" w:rsidP="00FE132C">
      <w:pPr>
        <w:spacing w:after="120"/>
        <w:ind w:firstLine="709"/>
        <w:rPr>
          <w:rFonts w:cs="Tahoma"/>
          <w:szCs w:val="20"/>
        </w:rPr>
      </w:pPr>
      <w:r w:rsidRPr="002150E6">
        <w:rPr>
          <w:noProof/>
        </w:rPr>
        <w:drawing>
          <wp:inline distT="0" distB="0" distL="0" distR="0" wp14:anchorId="681655C0" wp14:editId="49BDDEE1">
            <wp:extent cx="4318000" cy="1955800"/>
            <wp:effectExtent l="0" t="0" r="6350" b="6350"/>
            <wp:docPr id="1681089171" name="Gráfico 1681089171"/>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p>
    <w:p w14:paraId="2C23A238" w14:textId="77777777" w:rsidR="00FE132C" w:rsidRPr="0054000D" w:rsidRDefault="00FE132C" w:rsidP="00FE132C">
      <w:pPr>
        <w:spacing w:after="0" w:line="240" w:lineRule="auto"/>
        <w:ind w:left="709"/>
        <w:rPr>
          <w:rFonts w:ascii="Tahoma" w:hAnsi="Tahoma" w:cs="Tahoma"/>
          <w:b/>
          <w:bCs/>
          <w:sz w:val="14"/>
          <w:szCs w:val="14"/>
        </w:rPr>
      </w:pPr>
      <w:r w:rsidRPr="0054000D">
        <w:rPr>
          <w:rFonts w:ascii="Tahoma" w:hAnsi="Tahoma" w:cs="Tahoma"/>
          <w:b/>
          <w:bCs/>
          <w:sz w:val="14"/>
          <w:szCs w:val="14"/>
        </w:rPr>
        <w:t>Gráfico 2 - Taxa de Câmbio (R$/US$)</w:t>
      </w:r>
    </w:p>
    <w:p w14:paraId="6E130E5D" w14:textId="77777777" w:rsidR="00FE132C" w:rsidRPr="0054000D" w:rsidRDefault="00FE132C" w:rsidP="00FE132C">
      <w:pPr>
        <w:spacing w:after="0" w:line="240" w:lineRule="auto"/>
        <w:ind w:left="709"/>
        <w:jc w:val="both"/>
        <w:rPr>
          <w:rFonts w:ascii="Tahoma" w:hAnsi="Tahoma" w:cs="Tahoma"/>
          <w:sz w:val="12"/>
          <w:szCs w:val="14"/>
        </w:rPr>
      </w:pPr>
      <w:r w:rsidRPr="0054000D">
        <w:rPr>
          <w:rFonts w:ascii="Tahoma" w:hAnsi="Tahoma" w:cs="Tahoma"/>
          <w:sz w:val="12"/>
          <w:szCs w:val="14"/>
        </w:rPr>
        <w:t>Fonte: BACEN.</w:t>
      </w:r>
    </w:p>
    <w:p w14:paraId="6C1B05AF" w14:textId="77777777" w:rsidR="00FE132C" w:rsidRPr="0054000D" w:rsidRDefault="00FE132C" w:rsidP="00FE132C">
      <w:pPr>
        <w:spacing w:after="0" w:line="240" w:lineRule="auto"/>
        <w:ind w:left="709"/>
        <w:rPr>
          <w:rFonts w:ascii="Tahoma" w:hAnsi="Tahoma" w:cs="Tahoma"/>
          <w:bCs/>
          <w:sz w:val="12"/>
          <w:szCs w:val="14"/>
        </w:rPr>
      </w:pPr>
      <w:r w:rsidRPr="0054000D">
        <w:rPr>
          <w:rFonts w:ascii="Tahoma" w:hAnsi="Tahoma" w:cs="Tahoma"/>
          <w:bCs/>
          <w:sz w:val="12"/>
          <w:szCs w:val="14"/>
        </w:rPr>
        <w:t>Nota: Cotações até 22/10/2024.</w:t>
      </w:r>
    </w:p>
    <w:p w14:paraId="137C8A15" w14:textId="77777777" w:rsidR="00FE132C" w:rsidRDefault="00FE132C" w:rsidP="00FE132C">
      <w:pPr>
        <w:spacing w:after="120"/>
        <w:ind w:firstLine="709"/>
        <w:rPr>
          <w:rFonts w:cs="Tahoma"/>
          <w:szCs w:val="20"/>
        </w:rPr>
      </w:pPr>
    </w:p>
    <w:p w14:paraId="7C0A781F" w14:textId="41814F07" w:rsidR="00FE132C" w:rsidRPr="00FE132C" w:rsidRDefault="00FE132C" w:rsidP="00D93366">
      <w:pPr>
        <w:spacing w:after="120"/>
        <w:ind w:firstLine="709"/>
        <w:jc w:val="both"/>
        <w:rPr>
          <w:rFonts w:cs="Tahoma"/>
          <w:szCs w:val="20"/>
        </w:rPr>
      </w:pPr>
      <w:r w:rsidRPr="00FE132C">
        <w:rPr>
          <w:rFonts w:cs="Tahoma"/>
          <w:szCs w:val="20"/>
        </w:rPr>
        <w:t>O gráfico acima ilustra o comportamento do dólar ao longo de 2024, sendo possível identificar uma tendência de alta em praticamente todos os meses do ano. Registra-se que nos primeiros 10 meses de 2024 o investidor estrangeiro promoveu uma retirada líquida de recursos do país próxima a R$ 30 bilhões. Com efeito, neste mesmo período o dólar comercial registrou variação positiva de 16,4%, cotado a R$ 5,69</w:t>
      </w:r>
      <w:r w:rsidR="00801158">
        <w:rPr>
          <w:rFonts w:cs="Tahoma"/>
          <w:szCs w:val="20"/>
        </w:rPr>
        <w:t>.</w:t>
      </w:r>
      <w:r w:rsidRPr="00FE132C">
        <w:rPr>
          <w:rFonts w:cs="Tahoma"/>
          <w:szCs w:val="20"/>
        </w:rPr>
        <w:t xml:space="preserve">  </w:t>
      </w:r>
    </w:p>
    <w:p w14:paraId="007C17EC" w14:textId="330FCFD9" w:rsidR="00FE132C" w:rsidRPr="00FE132C" w:rsidRDefault="00FE132C" w:rsidP="000C021C">
      <w:pPr>
        <w:pStyle w:val="Ttulo2"/>
        <w:rPr>
          <w:rFonts w:ascii="Tahoma" w:hAnsi="Tahoma" w:cs="Tahoma"/>
          <w:b/>
          <w:sz w:val="20"/>
          <w:szCs w:val="20"/>
        </w:rPr>
      </w:pPr>
      <w:bookmarkStart w:id="16" w:name="_Toc181542566"/>
      <w:r w:rsidRPr="000C021C">
        <w:rPr>
          <w:rFonts w:ascii="Tahoma" w:hAnsi="Tahoma" w:cs="Tahoma"/>
          <w:b/>
          <w:color w:val="auto"/>
          <w:sz w:val="20"/>
          <w:szCs w:val="20"/>
        </w:rPr>
        <w:t>Taxa de Juros, Inflação e Política Monetária</w:t>
      </w:r>
      <w:bookmarkEnd w:id="16"/>
    </w:p>
    <w:p w14:paraId="3DE576FE" w14:textId="77777777" w:rsidR="00FE132C" w:rsidRPr="00FE132C" w:rsidRDefault="00FE132C" w:rsidP="00D93366">
      <w:pPr>
        <w:spacing w:after="120"/>
        <w:ind w:firstLine="709"/>
        <w:jc w:val="both"/>
        <w:rPr>
          <w:rFonts w:cs="Tahoma"/>
          <w:szCs w:val="20"/>
        </w:rPr>
      </w:pPr>
      <w:r w:rsidRPr="00FE132C">
        <w:rPr>
          <w:rFonts w:cs="Tahoma"/>
          <w:szCs w:val="20"/>
        </w:rPr>
        <w:t>No final de 2020 as projeções do mercado indicavam que 2021 seria caracterizado por uma relativa estabilidade da taxa Selic, com a última pesquisa Focus publicada naquele ano prevendo uma elevação máxima do indicador de 1 (um) ponto percentual, saindo de sua mínima histórica de 2% e encerrando o corrente exercício em 3%.</w:t>
      </w:r>
    </w:p>
    <w:p w14:paraId="2712CF9B" w14:textId="77777777" w:rsidR="00FE132C" w:rsidRPr="00FE132C" w:rsidRDefault="00FE132C" w:rsidP="00D93366">
      <w:pPr>
        <w:spacing w:after="120"/>
        <w:ind w:firstLine="709"/>
        <w:jc w:val="both"/>
        <w:rPr>
          <w:rFonts w:cs="Tahoma"/>
          <w:szCs w:val="20"/>
        </w:rPr>
      </w:pPr>
      <w:r w:rsidRPr="00FE132C">
        <w:rPr>
          <w:rFonts w:cs="Tahoma"/>
          <w:szCs w:val="20"/>
        </w:rPr>
        <w:t>A expectativa era que o COPOM promovesse maiores altas apenas em 2022, elevando a taxa básica de juros da economia brasileira para 4,5% em um processo de normalização da taxa básica de juros do país.</w:t>
      </w:r>
    </w:p>
    <w:p w14:paraId="17B34547" w14:textId="66B22642" w:rsidR="00FE132C" w:rsidRPr="00FE132C" w:rsidRDefault="00FE132C" w:rsidP="00D93366">
      <w:pPr>
        <w:spacing w:after="120"/>
        <w:ind w:firstLine="709"/>
        <w:jc w:val="both"/>
        <w:rPr>
          <w:rFonts w:cs="Tahoma"/>
          <w:szCs w:val="20"/>
        </w:rPr>
      </w:pPr>
      <w:r w:rsidRPr="00FE132C">
        <w:rPr>
          <w:rFonts w:cs="Tahoma"/>
          <w:szCs w:val="20"/>
        </w:rPr>
        <w:t xml:space="preserve">No entanto, a aceleração inflacionária ocorrida ao longo de 2021, com todas as projeções de IPCA indicando o </w:t>
      </w:r>
      <w:proofErr w:type="spellStart"/>
      <w:r w:rsidRPr="00FE132C">
        <w:rPr>
          <w:rFonts w:cs="Tahoma"/>
          <w:szCs w:val="20"/>
        </w:rPr>
        <w:t>extrapolamento</w:t>
      </w:r>
      <w:proofErr w:type="spellEnd"/>
      <w:r w:rsidRPr="00FE132C">
        <w:rPr>
          <w:rFonts w:cs="Tahoma"/>
          <w:szCs w:val="20"/>
        </w:rPr>
        <w:t xml:space="preserve"> do teto da meta estabelecida pelo BACEN (5,25%), implicaram mudança de rumo na condução da pol</w:t>
      </w:r>
      <w:r w:rsidR="00801158">
        <w:rPr>
          <w:rFonts w:cs="Tahoma"/>
          <w:szCs w:val="20"/>
        </w:rPr>
        <w:t>í</w:t>
      </w:r>
      <w:r w:rsidRPr="00FE132C">
        <w:rPr>
          <w:rFonts w:cs="Tahoma"/>
          <w:szCs w:val="20"/>
        </w:rPr>
        <w:t>tica monetária, tendo sido promovidos 07 (sete) aumentos consecutivos da Selic durante referido exercício, elevando os juros brasileiros para 9,25%</w:t>
      </w:r>
    </w:p>
    <w:p w14:paraId="537571B5" w14:textId="77777777" w:rsidR="00FE132C" w:rsidRPr="00FE132C" w:rsidRDefault="00FE132C" w:rsidP="00D93366">
      <w:pPr>
        <w:spacing w:after="120"/>
        <w:ind w:firstLine="709"/>
        <w:jc w:val="both"/>
        <w:rPr>
          <w:rFonts w:cs="Tahoma"/>
          <w:szCs w:val="20"/>
        </w:rPr>
      </w:pPr>
      <w:r w:rsidRPr="00FE132C">
        <w:rPr>
          <w:rFonts w:cs="Tahoma"/>
          <w:szCs w:val="20"/>
        </w:rPr>
        <w:t>A manutenção de um quadro de resiliência inflacionária seguiu impulsionando os juros em 2022. Ao longo daquele ano, o COPOM efetivou 05 (cinco) novas altas da Taxa Selic, com os juros básicos do país encerrando o exercício em 13,75%.</w:t>
      </w:r>
    </w:p>
    <w:p w14:paraId="5B982071" w14:textId="560B6FD8" w:rsidR="00FE132C" w:rsidRPr="00FE132C" w:rsidRDefault="00FE132C" w:rsidP="00D93366">
      <w:pPr>
        <w:spacing w:after="120"/>
        <w:ind w:firstLine="709"/>
        <w:jc w:val="both"/>
        <w:rPr>
          <w:rFonts w:cs="Tahoma"/>
          <w:szCs w:val="20"/>
        </w:rPr>
      </w:pPr>
      <w:r w:rsidRPr="00FE132C">
        <w:rPr>
          <w:rFonts w:cs="Tahoma"/>
          <w:szCs w:val="20"/>
        </w:rPr>
        <w:t>A partir disso, todas as projeções passaram a indicar o in</w:t>
      </w:r>
      <w:r w:rsidR="00801158">
        <w:rPr>
          <w:rFonts w:cs="Tahoma"/>
          <w:szCs w:val="20"/>
        </w:rPr>
        <w:t>í</w:t>
      </w:r>
      <w:r w:rsidRPr="00FE132C">
        <w:rPr>
          <w:rFonts w:cs="Tahoma"/>
          <w:szCs w:val="20"/>
        </w:rPr>
        <w:t>cio do ciclo de queda da Selic no decorrer de 2023. Assim, após manter a taxa em 13,75% por 07 (sete) vezes consecutivas, o COPOM promoveu 03 (três) cortes em sequência da Selic no segundo semestre do ano passado, todos na magnitude de 0,5 ponto percentual, com o primeiro ocorrendo no mês de setembro e o último em dezembro, finalizando com uma Selic em 11,75%.</w:t>
      </w:r>
    </w:p>
    <w:p w14:paraId="76217A45" w14:textId="0F4A82AA" w:rsidR="00FE132C" w:rsidRPr="00FE132C" w:rsidRDefault="00FE132C" w:rsidP="00D93366">
      <w:pPr>
        <w:spacing w:after="120"/>
        <w:ind w:firstLine="709"/>
        <w:jc w:val="both"/>
        <w:rPr>
          <w:rFonts w:cs="Tahoma"/>
          <w:szCs w:val="20"/>
        </w:rPr>
      </w:pPr>
      <w:r w:rsidRPr="00FE132C">
        <w:rPr>
          <w:rFonts w:cs="Tahoma"/>
          <w:szCs w:val="20"/>
        </w:rPr>
        <w:t xml:space="preserve">Para 2024, as previsões seguiram indicando sucessivas quedas dos juros, situação confirmada ao longo do primeiro semestre do ano, período em que 03 (três) novos cortes foram promovidos pelo COPOM, todavia, não na mesma magnitude, com o ritmo de queda desacelerando a partir de junho. Após realizar 02 (dois) novos cortes na magnitude de 0,5 ponto percentual cada entre os meses de fevereiro e março, o COPOM reduziu a queda da Selic para 0,25 ponto percentual na reunião de maio, com a taxa alcançando o piso anual de 10,50%. Referida perda de ritmo passou a sinalizar a preocupação do BACEN com a resiliência das pressões inflacionárias, uma vez que o Brasil, de forma análoga ao verificado nos EUA, também presenciava uma espécie de </w:t>
      </w:r>
      <w:r w:rsidR="00801158">
        <w:rPr>
          <w:rFonts w:cs="Tahoma"/>
          <w:szCs w:val="20"/>
        </w:rPr>
        <w:t>“</w:t>
      </w:r>
      <w:r w:rsidRPr="00FE132C">
        <w:rPr>
          <w:rFonts w:cs="Tahoma"/>
          <w:szCs w:val="20"/>
        </w:rPr>
        <w:t>pouso suave</w:t>
      </w:r>
      <w:r w:rsidR="00801158">
        <w:rPr>
          <w:rFonts w:cs="Tahoma"/>
          <w:szCs w:val="20"/>
        </w:rPr>
        <w:t>”</w:t>
      </w:r>
      <w:r w:rsidRPr="00FE132C">
        <w:rPr>
          <w:rFonts w:cs="Tahoma"/>
          <w:szCs w:val="20"/>
        </w:rPr>
        <w:t xml:space="preserve"> da economia, com os efeitos adversos da pol</w:t>
      </w:r>
      <w:r w:rsidR="00801158">
        <w:rPr>
          <w:rFonts w:cs="Tahoma"/>
          <w:szCs w:val="20"/>
        </w:rPr>
        <w:t>í</w:t>
      </w:r>
      <w:r w:rsidRPr="00FE132C">
        <w:rPr>
          <w:rFonts w:cs="Tahoma"/>
          <w:szCs w:val="20"/>
        </w:rPr>
        <w:t>tica monetária contracionista até então vigente impactando menos do que o esperado a atividade econômica, em especial o mercado de trabalho e o consumo das famílias.</w:t>
      </w:r>
    </w:p>
    <w:p w14:paraId="44F30B5E" w14:textId="7D5CA67E" w:rsidR="00FE132C" w:rsidRDefault="00FE132C" w:rsidP="00D93366">
      <w:pPr>
        <w:spacing w:after="120"/>
        <w:ind w:firstLine="709"/>
        <w:jc w:val="both"/>
        <w:rPr>
          <w:rFonts w:cs="Tahoma"/>
          <w:szCs w:val="20"/>
        </w:rPr>
      </w:pPr>
      <w:r w:rsidRPr="00FE132C">
        <w:rPr>
          <w:rFonts w:cs="Tahoma"/>
          <w:szCs w:val="20"/>
        </w:rPr>
        <w:t>Tal preocupação freou o ciclo de queda da Selic, fazendo com que a taxa fosse renovada em 10,50% nas duas reuniões seguintes do COPOM e, ainda, experimentando nova alta de 0,25 ponto percentual no encontro de setembro, o que elevou os juros básicos do país para taxa de 10,75% ao ano.</w:t>
      </w:r>
    </w:p>
    <w:p w14:paraId="5FE0D6E9" w14:textId="57CB265D" w:rsidR="00FE132C" w:rsidRDefault="00FE132C" w:rsidP="00FE132C">
      <w:pPr>
        <w:spacing w:after="120"/>
        <w:ind w:firstLine="709"/>
        <w:rPr>
          <w:rFonts w:cs="Tahoma"/>
          <w:szCs w:val="20"/>
        </w:rPr>
      </w:pPr>
      <w:r w:rsidRPr="002150E6">
        <w:rPr>
          <w:noProof/>
        </w:rPr>
        <w:lastRenderedPageBreak/>
        <w:drawing>
          <wp:inline distT="0" distB="0" distL="0" distR="0" wp14:anchorId="278BB48C" wp14:editId="359A34E1">
            <wp:extent cx="4698896" cy="1944499"/>
            <wp:effectExtent l="0" t="0" r="26035" b="17780"/>
            <wp:docPr id="1037562411" name="Gráfico 1037562411"/>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p>
    <w:p w14:paraId="4CE59954" w14:textId="77777777" w:rsidR="00FE132C" w:rsidRPr="0054000D" w:rsidRDefault="00FE132C" w:rsidP="00FE132C">
      <w:pPr>
        <w:spacing w:after="0" w:line="240" w:lineRule="auto"/>
        <w:ind w:left="709"/>
        <w:rPr>
          <w:rFonts w:ascii="Tahoma" w:hAnsi="Tahoma" w:cs="Tahoma"/>
          <w:sz w:val="14"/>
          <w:szCs w:val="14"/>
        </w:rPr>
      </w:pPr>
      <w:r w:rsidRPr="0054000D">
        <w:rPr>
          <w:rFonts w:ascii="Tahoma" w:hAnsi="Tahoma" w:cs="Tahoma"/>
          <w:b/>
          <w:bCs/>
          <w:sz w:val="14"/>
          <w:szCs w:val="14"/>
        </w:rPr>
        <w:t>Gráfico 3 – Evolução da Taxa Selic (%)</w:t>
      </w:r>
    </w:p>
    <w:p w14:paraId="1F37FC37" w14:textId="77777777" w:rsidR="00FE132C" w:rsidRPr="0054000D" w:rsidRDefault="00FE132C" w:rsidP="00FE132C">
      <w:pPr>
        <w:spacing w:after="0" w:line="240" w:lineRule="auto"/>
        <w:ind w:left="709"/>
        <w:rPr>
          <w:rFonts w:ascii="Tahoma" w:hAnsi="Tahoma" w:cs="Tahoma"/>
          <w:sz w:val="12"/>
          <w:szCs w:val="14"/>
        </w:rPr>
      </w:pPr>
      <w:r w:rsidRPr="0054000D">
        <w:rPr>
          <w:rFonts w:ascii="Tahoma" w:hAnsi="Tahoma" w:cs="Tahoma"/>
          <w:sz w:val="12"/>
          <w:szCs w:val="14"/>
        </w:rPr>
        <w:t>Fonte: BACEN.</w:t>
      </w:r>
    </w:p>
    <w:p w14:paraId="41D39582" w14:textId="77777777" w:rsidR="00FE132C" w:rsidRPr="0054000D" w:rsidRDefault="00FE132C" w:rsidP="00FE132C">
      <w:pPr>
        <w:spacing w:after="0" w:line="240" w:lineRule="auto"/>
        <w:ind w:left="709"/>
        <w:rPr>
          <w:rFonts w:ascii="Tahoma" w:hAnsi="Tahoma" w:cs="Tahoma"/>
          <w:sz w:val="12"/>
          <w:szCs w:val="14"/>
        </w:rPr>
      </w:pPr>
      <w:r w:rsidRPr="0054000D">
        <w:rPr>
          <w:rFonts w:ascii="Tahoma" w:hAnsi="Tahoma" w:cs="Tahoma"/>
          <w:sz w:val="12"/>
          <w:szCs w:val="14"/>
        </w:rPr>
        <w:t>NOTA: Dados até a última reunião do COPOM (19/09/24).</w:t>
      </w:r>
    </w:p>
    <w:p w14:paraId="03D52CAD" w14:textId="77777777" w:rsidR="00FE132C" w:rsidRDefault="00FE132C" w:rsidP="00FE132C">
      <w:pPr>
        <w:spacing w:after="120"/>
        <w:ind w:firstLine="709"/>
        <w:rPr>
          <w:rFonts w:cs="Tahoma"/>
          <w:szCs w:val="20"/>
        </w:rPr>
      </w:pPr>
    </w:p>
    <w:p w14:paraId="67DFECE5" w14:textId="257DCA90" w:rsidR="00FE132C" w:rsidRPr="00FE132C" w:rsidRDefault="00FE132C" w:rsidP="00D93366">
      <w:pPr>
        <w:spacing w:after="120"/>
        <w:ind w:firstLine="709"/>
        <w:jc w:val="both"/>
        <w:rPr>
          <w:rFonts w:cs="Tahoma"/>
          <w:szCs w:val="20"/>
        </w:rPr>
      </w:pPr>
      <w:r w:rsidRPr="00FE132C">
        <w:rPr>
          <w:rFonts w:cs="Tahoma"/>
          <w:szCs w:val="20"/>
        </w:rPr>
        <w:t xml:space="preserve">A cautela do BACEN acerca das pressões inflacionárias dialoga com as previsões do mercado, que projetam mais duas novas elevações da Selic para 2024, ambas de 0,5 ponto percentual, elevando os juros para 11,75% até o final do corrente exercício. Para 2025, o mercado não sinaliza grandes mudanças no rumo da Selic, sendo prevista uma única redução de 0,5 ponto percentual ao longo do próximo ano, com a taxa caindo para 11,25%, movimento parecido com as </w:t>
      </w:r>
      <w:r w:rsidR="00801158">
        <w:rPr>
          <w:rFonts w:cs="Tahoma"/>
          <w:szCs w:val="20"/>
        </w:rPr>
        <w:t>ú</w:t>
      </w:r>
      <w:r w:rsidRPr="00FE132C">
        <w:rPr>
          <w:rFonts w:cs="Tahoma"/>
          <w:szCs w:val="20"/>
        </w:rPr>
        <w:t>ltimas estimativas inflacionárias para o biênio em curso.</w:t>
      </w:r>
    </w:p>
    <w:p w14:paraId="6DAE3773" w14:textId="1583A8B7" w:rsidR="00FE132C" w:rsidRDefault="00FE132C" w:rsidP="00D93366">
      <w:pPr>
        <w:spacing w:after="120"/>
        <w:ind w:firstLine="709"/>
        <w:jc w:val="both"/>
        <w:rPr>
          <w:rFonts w:cs="Tahoma"/>
          <w:szCs w:val="20"/>
        </w:rPr>
      </w:pPr>
      <w:r w:rsidRPr="00FE132C">
        <w:rPr>
          <w:rFonts w:cs="Tahoma"/>
          <w:szCs w:val="20"/>
        </w:rPr>
        <w:t>Isto porqu</w:t>
      </w:r>
      <w:r w:rsidR="00801158">
        <w:rPr>
          <w:rFonts w:cs="Tahoma"/>
          <w:szCs w:val="20"/>
        </w:rPr>
        <w:t>e</w:t>
      </w:r>
      <w:r w:rsidRPr="00FE132C">
        <w:rPr>
          <w:rFonts w:cs="Tahoma"/>
          <w:szCs w:val="20"/>
        </w:rPr>
        <w:t>, a diferença entre as inflações projetada para 2024 e 2025 é de apenas 0,55 ponto percentual, sendo previstas respectivas taxas de 4,55% e 4% para os anos de 2024 e 2025. Em outras palavras, observa-se que a previsão é de um IPCA acima da meta em ambos os anos (3%), ficando levemente acima do teto em 2024 (4,5%), mas recuando para um nível intermediário entre o centro e o teto da meta a partir de 2025.</w:t>
      </w:r>
    </w:p>
    <w:p w14:paraId="54A2FE2D" w14:textId="1828F8B5" w:rsidR="00FE132C" w:rsidRDefault="00FE132C" w:rsidP="00FE132C">
      <w:pPr>
        <w:spacing w:after="120"/>
        <w:ind w:firstLine="709"/>
        <w:rPr>
          <w:rFonts w:cs="Tahoma"/>
          <w:szCs w:val="20"/>
        </w:rPr>
      </w:pPr>
      <w:r w:rsidRPr="002150E6">
        <w:rPr>
          <w:noProof/>
        </w:rPr>
        <w:drawing>
          <wp:inline distT="0" distB="0" distL="0" distR="0" wp14:anchorId="76D9E4A2" wp14:editId="2025137D">
            <wp:extent cx="4725022" cy="2093789"/>
            <wp:effectExtent l="0" t="0" r="19050" b="20955"/>
            <wp:docPr id="5" name="Gráfico 5"/>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p>
    <w:p w14:paraId="0B8DE3EF" w14:textId="77777777" w:rsidR="00FE132C" w:rsidRPr="0054000D" w:rsidRDefault="00FE132C" w:rsidP="00FE132C">
      <w:pPr>
        <w:spacing w:after="0" w:line="240" w:lineRule="auto"/>
        <w:ind w:left="709"/>
        <w:jc w:val="both"/>
        <w:rPr>
          <w:rFonts w:ascii="Tahoma" w:hAnsi="Tahoma" w:cs="Tahoma"/>
          <w:b/>
          <w:bCs/>
          <w:sz w:val="14"/>
          <w:szCs w:val="14"/>
        </w:rPr>
      </w:pPr>
      <w:r w:rsidRPr="0054000D">
        <w:rPr>
          <w:rFonts w:ascii="Tahoma" w:hAnsi="Tahoma" w:cs="Tahoma"/>
          <w:b/>
          <w:bCs/>
          <w:sz w:val="14"/>
          <w:szCs w:val="14"/>
        </w:rPr>
        <w:t>Gráfico 4 - Série Histórica IPCA Anual (%)</w:t>
      </w:r>
    </w:p>
    <w:p w14:paraId="5D6DFBD3" w14:textId="77777777" w:rsidR="00FE132C" w:rsidRPr="0054000D" w:rsidRDefault="00FE132C" w:rsidP="00FE132C">
      <w:pPr>
        <w:spacing w:after="0" w:line="240" w:lineRule="auto"/>
        <w:ind w:left="709"/>
        <w:jc w:val="both"/>
        <w:rPr>
          <w:rFonts w:ascii="Tahoma" w:hAnsi="Tahoma" w:cs="Tahoma"/>
          <w:sz w:val="12"/>
          <w:szCs w:val="14"/>
        </w:rPr>
      </w:pPr>
      <w:r w:rsidRPr="0054000D">
        <w:rPr>
          <w:rFonts w:ascii="Tahoma" w:hAnsi="Tahoma" w:cs="Tahoma"/>
          <w:sz w:val="12"/>
          <w:szCs w:val="14"/>
        </w:rPr>
        <w:t>Fonte: IBGE.</w:t>
      </w:r>
    </w:p>
    <w:p w14:paraId="5F62A9BD" w14:textId="77777777" w:rsidR="00FE132C" w:rsidRPr="0054000D" w:rsidRDefault="00FE132C" w:rsidP="00FE132C">
      <w:pPr>
        <w:spacing w:after="0" w:line="240" w:lineRule="auto"/>
        <w:ind w:left="709"/>
        <w:rPr>
          <w:rFonts w:ascii="Tahoma" w:hAnsi="Tahoma" w:cs="Tahoma"/>
          <w:sz w:val="12"/>
          <w:szCs w:val="14"/>
        </w:rPr>
      </w:pPr>
      <w:r w:rsidRPr="0054000D">
        <w:rPr>
          <w:rFonts w:ascii="Tahoma" w:hAnsi="Tahoma" w:cs="Tahoma"/>
          <w:sz w:val="12"/>
          <w:szCs w:val="14"/>
        </w:rPr>
        <w:t>Nota: (*) Pesquisa Focus de 18/10/2024.</w:t>
      </w:r>
    </w:p>
    <w:p w14:paraId="2912FD24" w14:textId="77777777" w:rsidR="00FE132C" w:rsidRDefault="00FE132C" w:rsidP="00FE132C">
      <w:pPr>
        <w:spacing w:after="120"/>
        <w:ind w:firstLine="709"/>
        <w:rPr>
          <w:rFonts w:cs="Tahoma"/>
          <w:szCs w:val="20"/>
        </w:rPr>
      </w:pPr>
    </w:p>
    <w:p w14:paraId="43849672" w14:textId="5EBCBD0B" w:rsidR="00FE132C" w:rsidRPr="00FE132C" w:rsidRDefault="00FE132C" w:rsidP="00D93366">
      <w:pPr>
        <w:spacing w:after="120"/>
        <w:ind w:firstLine="709"/>
        <w:jc w:val="both"/>
        <w:rPr>
          <w:rFonts w:cs="Tahoma"/>
          <w:szCs w:val="20"/>
        </w:rPr>
      </w:pPr>
      <w:r w:rsidRPr="00FE132C">
        <w:rPr>
          <w:rFonts w:cs="Tahoma"/>
          <w:szCs w:val="20"/>
        </w:rPr>
        <w:t xml:space="preserve">Conforme já referido anteriormente, o prejuízo trazido pela situação fiscal à ancoragem das expectativas inflacionárias e a respectiva necessidade de maiores prêmios para rolagem da dívida pública, tem consistido no principal fator de risco às projeções de IPCA. Soma-se a isso, a também já referida resiliência do mercado de trabalho e, por conseguinte, do consumo das famílias, que em </w:t>
      </w:r>
      <w:r w:rsidRPr="00FE132C">
        <w:rPr>
          <w:rFonts w:cs="Tahoma"/>
          <w:szCs w:val="20"/>
        </w:rPr>
        <w:lastRenderedPageBreak/>
        <w:t>virtude do incremento de diversos programas sociais e da pol</w:t>
      </w:r>
      <w:r w:rsidR="00801158">
        <w:rPr>
          <w:rFonts w:cs="Tahoma"/>
          <w:szCs w:val="20"/>
        </w:rPr>
        <w:t>í</w:t>
      </w:r>
      <w:r w:rsidRPr="00FE132C">
        <w:rPr>
          <w:rFonts w:cs="Tahoma"/>
          <w:szCs w:val="20"/>
        </w:rPr>
        <w:t>tica de pagamento de precatórios em curso, ajudaram a manter a economia doméstica aquecida em 2024.</w:t>
      </w:r>
    </w:p>
    <w:p w14:paraId="508C6F20" w14:textId="77777777" w:rsidR="00FE132C" w:rsidRPr="00FE132C" w:rsidRDefault="00FE132C" w:rsidP="00D93366">
      <w:pPr>
        <w:spacing w:after="120"/>
        <w:ind w:firstLine="709"/>
        <w:jc w:val="both"/>
        <w:rPr>
          <w:rFonts w:cs="Tahoma"/>
          <w:szCs w:val="20"/>
        </w:rPr>
      </w:pPr>
      <w:r w:rsidRPr="00FE132C">
        <w:rPr>
          <w:rFonts w:cs="Tahoma"/>
          <w:szCs w:val="20"/>
        </w:rPr>
        <w:t>A questão cambial é outro ponto que merece ser ressalvado no que tange às previsões inflacionárias. Uma economia doméstica aquecida incentiva um maior volume de importações, que combinada com a desvalorização do real frente ao dólar, aumenta a pressão sobre os preços de toda a cadeia produtiva.</w:t>
      </w:r>
    </w:p>
    <w:p w14:paraId="3690050E" w14:textId="77777777" w:rsidR="00FE132C" w:rsidRPr="00FE132C" w:rsidRDefault="00FE132C" w:rsidP="00D93366">
      <w:pPr>
        <w:spacing w:after="120"/>
        <w:ind w:firstLine="709"/>
        <w:jc w:val="both"/>
        <w:rPr>
          <w:rFonts w:cs="Tahoma"/>
          <w:szCs w:val="20"/>
        </w:rPr>
      </w:pPr>
      <w:r w:rsidRPr="00FE132C">
        <w:rPr>
          <w:rFonts w:cs="Tahoma"/>
          <w:szCs w:val="20"/>
        </w:rPr>
        <w:t xml:space="preserve">No ano (até setembro) e no acumulado dos últimos 12 (doze) meses, o IPCA registra respectivas altas de 3,31% e 4,42%. Importante ressaltar que esses mesmos indicadores em 2023 contabilizavam inflações de 3,50% e 5,19%. </w:t>
      </w:r>
    </w:p>
    <w:p w14:paraId="4E1EA92D" w14:textId="541E1EBD" w:rsidR="00FE132C" w:rsidRPr="00FE132C" w:rsidRDefault="00FE132C" w:rsidP="00D93366">
      <w:pPr>
        <w:spacing w:after="120"/>
        <w:ind w:firstLine="709"/>
        <w:jc w:val="both"/>
        <w:rPr>
          <w:rFonts w:cs="Tahoma"/>
          <w:szCs w:val="20"/>
        </w:rPr>
      </w:pPr>
      <w:r w:rsidRPr="00FE132C">
        <w:rPr>
          <w:rFonts w:cs="Tahoma"/>
          <w:szCs w:val="20"/>
        </w:rPr>
        <w:t>As maiores altas verificadas nesse período ficaram por conta dos grupos</w:t>
      </w:r>
      <w:r w:rsidR="00801158">
        <w:rPr>
          <w:rFonts w:cs="Tahoma"/>
          <w:szCs w:val="20"/>
        </w:rPr>
        <w:t>:</w:t>
      </w:r>
      <w:r w:rsidRPr="00FE132C">
        <w:rPr>
          <w:rFonts w:cs="Tahoma"/>
          <w:szCs w:val="20"/>
        </w:rPr>
        <w:t xml:space="preserve"> Educação (6,59%) e Saúde e Cuidados Pessoais (5,35%). Por outro lado, grupos mais representativos no cômputo de cálculo do IPCA registraram variações inferiores, como são os casos dos grupos</w:t>
      </w:r>
      <w:r w:rsidR="00801158">
        <w:rPr>
          <w:rFonts w:cs="Tahoma"/>
          <w:szCs w:val="20"/>
        </w:rPr>
        <w:t>:</w:t>
      </w:r>
      <w:r w:rsidRPr="00FE132C">
        <w:rPr>
          <w:rFonts w:cs="Tahoma"/>
          <w:szCs w:val="20"/>
        </w:rPr>
        <w:t xml:space="preserve"> Alimentação e Bebidas (3,72%), Habitação (3,72%) e Transportes (2,09%), o que corrobora a desaceleração verificada frente a idêntico período de 2023.</w:t>
      </w:r>
    </w:p>
    <w:p w14:paraId="094CFAF1" w14:textId="77777777" w:rsidR="00FE132C" w:rsidRPr="00FE132C" w:rsidRDefault="00FE132C" w:rsidP="00D93366">
      <w:pPr>
        <w:spacing w:after="120"/>
        <w:ind w:firstLine="709"/>
        <w:jc w:val="both"/>
        <w:rPr>
          <w:rFonts w:cs="Tahoma"/>
          <w:szCs w:val="20"/>
        </w:rPr>
      </w:pPr>
      <w:r w:rsidRPr="00FE132C">
        <w:rPr>
          <w:rFonts w:cs="Tahoma"/>
          <w:szCs w:val="20"/>
        </w:rPr>
        <w:t>No geral, a boa performance da safra brasileira mesmo em meio às adversidades climáticas vividas no Brasil - enchentes no Rio Grande Sul e estiagem em diversos outros estados - ajudou a conter os preços dos alimentos. Na comparação com o ano passado, a estimativa é de redução de 21 milhões de toneladas na safra de grãos, contudo, mesmo assim não implicando crise de oferta no mercado doméstico. No mesmo sentido, a melhora da situação hídrica no país reduziu a vigência de bandeiras tarifárias mais onerosas no setor elétrico, diminuindo a pressão sobre as tarifas e corroborando a menor variação de preços verificada no grupo Habitação. Já de parte do grupo Transportes, a continuidade na moderação dos preços internacionais das commodities, em especial do petróleo, favoreceu uma maior estabilidade nos preços dos combustíveis, explicando a pequena variação deste grupo frente aos demais segmentos pesquisados pelo IBGE.</w:t>
      </w:r>
    </w:p>
    <w:p w14:paraId="2AA2977B" w14:textId="64C35ED7" w:rsidR="00FE132C" w:rsidRPr="00FE132C" w:rsidRDefault="00FE132C" w:rsidP="000C021C">
      <w:pPr>
        <w:pStyle w:val="Ttulo2"/>
        <w:rPr>
          <w:rFonts w:ascii="Tahoma" w:hAnsi="Tahoma" w:cs="Tahoma"/>
          <w:b/>
          <w:sz w:val="20"/>
          <w:szCs w:val="20"/>
        </w:rPr>
      </w:pPr>
      <w:bookmarkStart w:id="17" w:name="_Toc181542567"/>
      <w:r w:rsidRPr="000C021C">
        <w:rPr>
          <w:rFonts w:ascii="Tahoma" w:hAnsi="Tahoma" w:cs="Tahoma"/>
          <w:b/>
          <w:color w:val="auto"/>
          <w:sz w:val="20"/>
          <w:szCs w:val="20"/>
        </w:rPr>
        <w:t>Atividade Econômica e Produto Interno Bruto</w:t>
      </w:r>
      <w:bookmarkEnd w:id="17"/>
    </w:p>
    <w:p w14:paraId="0111B294" w14:textId="01BEC36E" w:rsidR="00FE132C" w:rsidRPr="00FE132C" w:rsidRDefault="00FE132C" w:rsidP="00D93366">
      <w:pPr>
        <w:spacing w:after="120"/>
        <w:ind w:firstLine="709"/>
        <w:jc w:val="both"/>
        <w:rPr>
          <w:rFonts w:cs="Tahoma"/>
          <w:szCs w:val="20"/>
        </w:rPr>
      </w:pPr>
      <w:r w:rsidRPr="00FE132C">
        <w:rPr>
          <w:rFonts w:cs="Tahoma"/>
          <w:szCs w:val="20"/>
        </w:rPr>
        <w:t>Durante os 03 anos que antecederam a pandemia (2017 a 2019), o Produto Interno Bruto (PIB) brasileiro cresceu a taxas módicas, pouco superiores a 1%, mantendo um ritmo de recuperação abaixo das necessidades do país, haja vista a significativa retração ocorrida entre os anos de 2015 e 2016, período em que a economia doméstica encolheu -7,8%.</w:t>
      </w:r>
    </w:p>
    <w:p w14:paraId="1EFC80AE" w14:textId="77777777" w:rsidR="00FE132C" w:rsidRPr="00FE132C" w:rsidRDefault="00FE132C" w:rsidP="00D93366">
      <w:pPr>
        <w:spacing w:after="120"/>
        <w:ind w:firstLine="709"/>
        <w:jc w:val="both"/>
        <w:rPr>
          <w:rFonts w:cs="Tahoma"/>
          <w:szCs w:val="20"/>
        </w:rPr>
      </w:pPr>
      <w:r w:rsidRPr="00FE132C">
        <w:rPr>
          <w:rFonts w:cs="Tahoma"/>
          <w:szCs w:val="20"/>
        </w:rPr>
        <w:t>Em 2020, o advento da pandemia e a conseguinte paralisação de boa parte das atividades econômicas rechaçou qualquer possibilidade de crescimento. Com efeito, a partir de março daquele ano, as tímidas expectativas de expansão da economia foram rapidamente substituídas por uma nova e severa previsão de queda, com o PIB perfazendo uma variação negativa de -4,1% ao final do período.</w:t>
      </w:r>
    </w:p>
    <w:p w14:paraId="57E14D6E" w14:textId="79C09BC2" w:rsidR="00FE132C" w:rsidRPr="00FE132C" w:rsidRDefault="00FE132C" w:rsidP="00D93366">
      <w:pPr>
        <w:spacing w:after="120"/>
        <w:ind w:firstLine="709"/>
        <w:jc w:val="both"/>
        <w:rPr>
          <w:rFonts w:cs="Tahoma"/>
          <w:szCs w:val="20"/>
        </w:rPr>
      </w:pPr>
      <w:r w:rsidRPr="00FE132C">
        <w:rPr>
          <w:rFonts w:cs="Tahoma"/>
          <w:szCs w:val="20"/>
        </w:rPr>
        <w:t>Já em 2021, a evolução positiva do programa de imunizações, tanto em percentual de brasileiros vacinados como no que se refere à efetiva redução de óbitos e internações, permitiram aos governos subnacionais flexibilizarem as regras de distanciamento social, tendo como consequência a retomada de diversas atividades econômicas e um maior otimismo em relação ao PIB. No decorrer do ano, as estimativas chegaram a indicar uma expansão superior a 5%, todavia, o in</w:t>
      </w:r>
      <w:r w:rsidR="00801158">
        <w:rPr>
          <w:rFonts w:cs="Tahoma"/>
          <w:szCs w:val="20"/>
        </w:rPr>
        <w:t>í</w:t>
      </w:r>
      <w:r w:rsidRPr="00FE132C">
        <w:rPr>
          <w:rFonts w:cs="Tahoma"/>
          <w:szCs w:val="20"/>
        </w:rPr>
        <w:t>cio do ciclo de alta da Selic diminuiu o ritmo da recuperação projetada, com o PIB fechando 2021 perfazendo alta de 4,6%.</w:t>
      </w:r>
    </w:p>
    <w:p w14:paraId="79645F78" w14:textId="260C55D2" w:rsidR="00FE132C" w:rsidRPr="00FE132C" w:rsidRDefault="00FE132C" w:rsidP="00D93366">
      <w:pPr>
        <w:spacing w:after="120"/>
        <w:ind w:firstLine="709"/>
        <w:jc w:val="both"/>
        <w:rPr>
          <w:rFonts w:cs="Tahoma"/>
          <w:szCs w:val="20"/>
        </w:rPr>
      </w:pPr>
      <w:r w:rsidRPr="00FE132C">
        <w:rPr>
          <w:rFonts w:cs="Tahoma"/>
          <w:szCs w:val="20"/>
        </w:rPr>
        <w:lastRenderedPageBreak/>
        <w:t>Na esteira do ciclo de alta da Selic e do respectivo aperto das condições monetárias e de inflação, as previsões iniciais para 2022 indicavam um tímido crescimento econômico, estimando-se uma variação do PIB próxima a apenas 0,3%. No entanto, puxad</w:t>
      </w:r>
      <w:r w:rsidR="00801158">
        <w:rPr>
          <w:rFonts w:cs="Tahoma"/>
          <w:szCs w:val="20"/>
        </w:rPr>
        <w:t>a</w:t>
      </w:r>
      <w:r w:rsidRPr="00FE132C">
        <w:rPr>
          <w:rFonts w:cs="Tahoma"/>
          <w:szCs w:val="20"/>
        </w:rPr>
        <w:t xml:space="preserve"> pela indústria (1,6%) e, principalmente, pelo setor de serviços (4,2%), que já responde por 68,5% do PIB brasileiro, a atividade econômica surpreendeu em 2022, crescendo 2,9% e ficando em linha com a média do crescimento global aferido no ano passado. </w:t>
      </w:r>
    </w:p>
    <w:p w14:paraId="1AAF7356" w14:textId="54B6E19D" w:rsidR="00FE132C" w:rsidRPr="00FE132C" w:rsidRDefault="00FE132C" w:rsidP="00D93366">
      <w:pPr>
        <w:spacing w:after="120"/>
        <w:ind w:firstLine="709"/>
        <w:jc w:val="both"/>
        <w:rPr>
          <w:rFonts w:cs="Tahoma"/>
          <w:szCs w:val="20"/>
        </w:rPr>
      </w:pPr>
      <w:r w:rsidRPr="00FE132C">
        <w:rPr>
          <w:rFonts w:cs="Tahoma"/>
          <w:szCs w:val="20"/>
        </w:rPr>
        <w:t>Não obstante, as primeiras projeções para 2023 praticamente migraram o pessimismo in</w:t>
      </w:r>
      <w:r w:rsidR="00481984">
        <w:rPr>
          <w:rFonts w:cs="Tahoma"/>
          <w:szCs w:val="20"/>
        </w:rPr>
        <w:t>i</w:t>
      </w:r>
      <w:r w:rsidRPr="00FE132C">
        <w:rPr>
          <w:rFonts w:cs="Tahoma"/>
          <w:szCs w:val="20"/>
        </w:rPr>
        <w:t>cialmente estimado para 2022. A pol</w:t>
      </w:r>
      <w:r w:rsidR="00481984">
        <w:rPr>
          <w:rFonts w:cs="Tahoma"/>
          <w:szCs w:val="20"/>
        </w:rPr>
        <w:t>í</w:t>
      </w:r>
      <w:r w:rsidRPr="00FE132C">
        <w:rPr>
          <w:rFonts w:cs="Tahoma"/>
          <w:szCs w:val="20"/>
        </w:rPr>
        <w:t>tica monetária contracionista vigente à época permeou as expectativas do mercado, que no começo do ano passado estimava um crescimento próximo de apenas 1% para 2023. No entanto, repetindo 2022, a atividade econômica voltou a mostrar resiliência, conduzindo o PIB brasileiro a uma expansão de 2,9% no período.</w:t>
      </w:r>
    </w:p>
    <w:p w14:paraId="57E85DB7" w14:textId="463056D6" w:rsidR="00FE132C" w:rsidRPr="00FE132C" w:rsidRDefault="00FE132C" w:rsidP="00D93366">
      <w:pPr>
        <w:spacing w:after="120"/>
        <w:ind w:firstLine="709"/>
        <w:jc w:val="both"/>
        <w:rPr>
          <w:rFonts w:cs="Tahoma"/>
          <w:szCs w:val="20"/>
        </w:rPr>
      </w:pPr>
      <w:r w:rsidRPr="00FE132C">
        <w:rPr>
          <w:rFonts w:cs="Tahoma"/>
          <w:szCs w:val="20"/>
        </w:rPr>
        <w:t>Em 2024, o cenário praticamente se repete. Em que pese a expectativa de queda dos juros estar presente desde o começo do ano, as projeções iniciais de PIB para o corrente exercício indicavam um crescimento em torno de apenas 1,5%. Todavia, puxad</w:t>
      </w:r>
      <w:r w:rsidR="00481984">
        <w:rPr>
          <w:rFonts w:cs="Tahoma"/>
          <w:szCs w:val="20"/>
        </w:rPr>
        <w:t>a</w:t>
      </w:r>
      <w:r w:rsidRPr="00FE132C">
        <w:rPr>
          <w:rFonts w:cs="Tahoma"/>
          <w:szCs w:val="20"/>
        </w:rPr>
        <w:t xml:space="preserve"> pelo consumo das famílias e pelo satisfatório desempenho do mercado de trabalho, a economia doméstica mais uma vez se mostrou resiliente, aumentando o otimismo do mercado a partir das taxas mensalmente aferidas pelo IBC-Br, índice conhecido como uma prévia do PIB oficial do país.</w:t>
      </w:r>
    </w:p>
    <w:p w14:paraId="7CBAEBDA" w14:textId="08602D85" w:rsidR="00FE132C" w:rsidRDefault="00FE132C" w:rsidP="00D93366">
      <w:pPr>
        <w:spacing w:after="120"/>
        <w:ind w:firstLine="709"/>
        <w:jc w:val="both"/>
        <w:rPr>
          <w:rFonts w:cs="Tahoma"/>
          <w:szCs w:val="20"/>
        </w:rPr>
      </w:pPr>
      <w:r w:rsidRPr="00FE132C">
        <w:rPr>
          <w:rFonts w:cs="Tahoma"/>
          <w:szCs w:val="20"/>
        </w:rPr>
        <w:t>As últimas pesquisas Focus têm indicado um crescimento próximo a 3% para 2024, ficando em linha com as recentes projeções publicadas tanto pela OCDE como pelo FMI.</w:t>
      </w:r>
    </w:p>
    <w:p w14:paraId="7596D031" w14:textId="2D46BA1C" w:rsidR="00FE132C" w:rsidRDefault="00FE132C" w:rsidP="00FE132C">
      <w:pPr>
        <w:spacing w:after="120"/>
        <w:ind w:firstLine="709"/>
        <w:rPr>
          <w:rFonts w:cs="Tahoma"/>
          <w:szCs w:val="20"/>
        </w:rPr>
      </w:pPr>
      <w:r w:rsidRPr="002150E6">
        <w:rPr>
          <w:noProof/>
        </w:rPr>
        <w:drawing>
          <wp:inline distT="0" distB="0" distL="0" distR="0" wp14:anchorId="0D5EA129" wp14:editId="02596556">
            <wp:extent cx="4706360" cy="1981822"/>
            <wp:effectExtent l="0" t="0" r="18415" b="19050"/>
            <wp:docPr id="6" name="Gráfico 6"/>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p w14:paraId="64175F80" w14:textId="77777777" w:rsidR="00FE132C" w:rsidRPr="0054000D" w:rsidRDefault="00FE132C" w:rsidP="00FE132C">
      <w:pPr>
        <w:spacing w:after="0" w:line="240" w:lineRule="auto"/>
        <w:ind w:left="709"/>
        <w:jc w:val="both"/>
        <w:rPr>
          <w:rFonts w:ascii="Tahoma" w:hAnsi="Tahoma" w:cs="Tahoma"/>
          <w:b/>
          <w:bCs/>
          <w:sz w:val="14"/>
          <w:szCs w:val="14"/>
        </w:rPr>
      </w:pPr>
      <w:r w:rsidRPr="0054000D">
        <w:rPr>
          <w:rFonts w:ascii="Tahoma" w:hAnsi="Tahoma" w:cs="Tahoma"/>
          <w:b/>
          <w:bCs/>
          <w:sz w:val="14"/>
          <w:szCs w:val="14"/>
        </w:rPr>
        <w:t>Gráfico 5 - Série Histórica a preços de mercado PIB (%)</w:t>
      </w:r>
    </w:p>
    <w:p w14:paraId="6FB7A2B7" w14:textId="77777777" w:rsidR="00FE132C" w:rsidRPr="0054000D" w:rsidRDefault="00FE132C" w:rsidP="00FE132C">
      <w:pPr>
        <w:spacing w:after="0" w:line="240" w:lineRule="auto"/>
        <w:ind w:left="709"/>
        <w:jc w:val="both"/>
        <w:rPr>
          <w:rFonts w:ascii="Tahoma" w:hAnsi="Tahoma" w:cs="Tahoma"/>
          <w:sz w:val="12"/>
          <w:szCs w:val="14"/>
        </w:rPr>
      </w:pPr>
      <w:r w:rsidRPr="0054000D">
        <w:rPr>
          <w:rFonts w:ascii="Tahoma" w:hAnsi="Tahoma" w:cs="Tahoma"/>
          <w:sz w:val="12"/>
          <w:szCs w:val="14"/>
        </w:rPr>
        <w:t>Fonte: IBGE.</w:t>
      </w:r>
    </w:p>
    <w:p w14:paraId="72EA31ED" w14:textId="77777777" w:rsidR="00FE132C" w:rsidRPr="0054000D" w:rsidRDefault="00FE132C" w:rsidP="00FE132C">
      <w:pPr>
        <w:spacing w:after="0" w:line="240" w:lineRule="auto"/>
        <w:ind w:left="709"/>
        <w:jc w:val="both"/>
        <w:rPr>
          <w:rFonts w:ascii="Tahoma" w:hAnsi="Tahoma" w:cs="Tahoma"/>
          <w:sz w:val="12"/>
          <w:szCs w:val="14"/>
        </w:rPr>
      </w:pPr>
      <w:r w:rsidRPr="0054000D">
        <w:rPr>
          <w:rFonts w:ascii="Tahoma" w:hAnsi="Tahoma" w:cs="Tahoma"/>
          <w:sz w:val="12"/>
          <w:szCs w:val="14"/>
        </w:rPr>
        <w:t>(*) Projeções da Pesquisa Focus de 25/10/2024.</w:t>
      </w:r>
    </w:p>
    <w:p w14:paraId="43D919AF" w14:textId="77777777" w:rsidR="00FE132C" w:rsidRDefault="00FE132C" w:rsidP="00FE132C">
      <w:pPr>
        <w:spacing w:after="120"/>
        <w:ind w:firstLine="709"/>
        <w:rPr>
          <w:rFonts w:cs="Tahoma"/>
          <w:szCs w:val="20"/>
        </w:rPr>
      </w:pPr>
    </w:p>
    <w:p w14:paraId="3C4EB1C8" w14:textId="77777777" w:rsidR="00FE132C" w:rsidRPr="00FE132C" w:rsidRDefault="00FE132C" w:rsidP="00D93366">
      <w:pPr>
        <w:spacing w:after="120"/>
        <w:ind w:firstLine="709"/>
        <w:jc w:val="both"/>
        <w:rPr>
          <w:rFonts w:cs="Tahoma"/>
          <w:szCs w:val="20"/>
        </w:rPr>
      </w:pPr>
      <w:r w:rsidRPr="00FE132C">
        <w:rPr>
          <w:rFonts w:cs="Tahoma"/>
          <w:szCs w:val="20"/>
        </w:rPr>
        <w:t>Já para 2025, o otimismo é um pouco menor, contudo, acima das já referidas projeções inicialmente realizadas para os últimos 03 (três) anos. De olho no desequilíbrio das contas públicas, o mercado vislumbra um diminuto espaço fiscal para o governo seguir ampliando os programas sociais em curso, o que tenderia a diminuir o ímpeto do mercado de trabalho. Além disso, a retomada da alta dos juros em 2024 e a redução da perspectiva de queda dos mesmos para o próximo ano também passaram a afetar negativamente as projeções de PIB para 2025. Em regra, juros mais altos encarecem o custo de captação das empresas, inibindo o investimento e criando restrições ao crédito também para as pessoas físicas, ou seja, prejudicando o PIB tanto pelo lado da oferta como pela demanda.</w:t>
      </w:r>
    </w:p>
    <w:p w14:paraId="32071D79" w14:textId="77777777" w:rsidR="00FE132C" w:rsidRPr="00FE132C" w:rsidRDefault="00FE132C" w:rsidP="00D93366">
      <w:pPr>
        <w:spacing w:after="120"/>
        <w:ind w:firstLine="709"/>
        <w:jc w:val="both"/>
        <w:rPr>
          <w:rFonts w:cs="Tahoma"/>
          <w:szCs w:val="20"/>
        </w:rPr>
      </w:pPr>
      <w:r w:rsidRPr="00FE132C">
        <w:rPr>
          <w:rFonts w:cs="Tahoma"/>
          <w:szCs w:val="20"/>
        </w:rPr>
        <w:lastRenderedPageBreak/>
        <w:t xml:space="preserve">Nesse sentido, registra-se que as últimas Pesquisas Focus têm indicado crescimento levemente inferior a 2% para o próximo ano (1,93%), denotando um maior pessimismo em relação ao estimado tanto pelo FMI como pela OCDE, que projetam respectivas expansões do PIB da ordem de 2,2% e 2,6%. A continuidade da participação privada na infraestrutura brasileira pode se constituir em uma das mais importantes formas de manutenção do investimento em 2025, sobretudo no setor de saneamento, onde a necessidade de universalização dos serviços de água e esgoto tem implicado diversas desestatizações no país. Além disso, eventual sucesso do governo no controle das contas públicas diminuiria a percepção de risco do investidor estrangeiro, reduzindo a evasão de recursos e beneficiando diretamente o câmbio, com respectiva repercussão positiva sobre as projeções de inflação e PIB.  </w:t>
      </w:r>
    </w:p>
    <w:p w14:paraId="79189B88" w14:textId="478037D1" w:rsidR="00FE132C" w:rsidRDefault="00FE132C" w:rsidP="00D93366">
      <w:pPr>
        <w:spacing w:after="120"/>
        <w:ind w:firstLine="709"/>
        <w:jc w:val="both"/>
        <w:rPr>
          <w:rFonts w:cs="Tahoma"/>
          <w:szCs w:val="20"/>
        </w:rPr>
      </w:pPr>
      <w:r w:rsidRPr="00FE132C">
        <w:rPr>
          <w:rFonts w:cs="Tahoma"/>
          <w:szCs w:val="20"/>
        </w:rPr>
        <w:t>Por fim, destaca-se que o já tradicional estudo organizado pela agência nacional de classificação de riscos</w:t>
      </w:r>
      <w:r w:rsidR="00481984">
        <w:rPr>
          <w:rFonts w:cs="Tahoma"/>
          <w:szCs w:val="20"/>
        </w:rPr>
        <w:t>,</w:t>
      </w:r>
      <w:r w:rsidRPr="00FE132C">
        <w:rPr>
          <w:rFonts w:cs="Tahoma"/>
          <w:szCs w:val="20"/>
        </w:rPr>
        <w:t xml:space="preserve"> Austin Ratings, comparando o PIB das maiores economias do mundo, colocou o Brasil na vice liderança do ranking do segundo trimestre de 2024, registrando alta de 1,4%.</w:t>
      </w:r>
    </w:p>
    <w:p w14:paraId="08129619" w14:textId="77777777" w:rsidR="00FE132C" w:rsidRDefault="00FE132C" w:rsidP="00AD12FB">
      <w:pPr>
        <w:spacing w:after="120"/>
        <w:ind w:firstLine="709"/>
        <w:rPr>
          <w:rFonts w:cs="Tahoma"/>
          <w:szCs w:val="20"/>
        </w:rPr>
      </w:pPr>
    </w:p>
    <w:p w14:paraId="6E3AEA98" w14:textId="77777777" w:rsidR="007D4405" w:rsidRDefault="007D4405" w:rsidP="00AD12FB">
      <w:pPr>
        <w:spacing w:after="120"/>
        <w:ind w:firstLine="709"/>
        <w:rPr>
          <w:rFonts w:cs="Tahoma"/>
          <w:szCs w:val="20"/>
        </w:rPr>
      </w:pPr>
    </w:p>
    <w:p w14:paraId="6864DD7F" w14:textId="77777777" w:rsidR="007D4405" w:rsidRDefault="007D4405" w:rsidP="00AD12FB">
      <w:pPr>
        <w:spacing w:after="120"/>
        <w:ind w:firstLine="709"/>
        <w:rPr>
          <w:rFonts w:cs="Tahoma"/>
          <w:szCs w:val="20"/>
        </w:rPr>
      </w:pPr>
    </w:p>
    <w:p w14:paraId="084FE7E5" w14:textId="77777777" w:rsidR="007D4405" w:rsidRDefault="007D4405" w:rsidP="00AD12FB">
      <w:pPr>
        <w:spacing w:after="120"/>
        <w:ind w:firstLine="709"/>
        <w:rPr>
          <w:rFonts w:cs="Tahoma"/>
          <w:szCs w:val="20"/>
        </w:rPr>
      </w:pPr>
    </w:p>
    <w:p w14:paraId="718C9B9A" w14:textId="77777777" w:rsidR="00FE132C" w:rsidRDefault="00FE132C" w:rsidP="00AD12FB">
      <w:pPr>
        <w:spacing w:after="120"/>
        <w:ind w:firstLine="709"/>
      </w:pPr>
    </w:p>
    <w:bookmarkStart w:id="18" w:name="_Toc181542568"/>
    <w:p w14:paraId="730BD9EF" w14:textId="3900DF8B" w:rsidR="00BF5BF7" w:rsidRPr="00ED4208" w:rsidRDefault="00AD12FB" w:rsidP="000C021C">
      <w:pPr>
        <w:pStyle w:val="Ttulo1"/>
        <w:rPr>
          <w:b w:val="0"/>
          <w:color w:val="17365D" w:themeColor="text2" w:themeShade="BF"/>
          <w:u w:val="single"/>
        </w:rPr>
      </w:pPr>
      <w:r w:rsidRPr="00E4782B">
        <w:object w:dxaOrig="2425" w:dyaOrig="2598" w14:anchorId="119A69E4">
          <v:shape id="_x0000_i1060" type="#_x0000_t75" style="width:9.75pt;height:9pt" o:ole="">
            <v:imagedata r:id="rId11" o:title=""/>
          </v:shape>
          <o:OLEObject Type="Embed" ProgID="CorelDRAW.Graphic.13" ShapeID="_x0000_i1060" DrawAspect="Content" ObjectID="_1793685933" r:id="rId54"/>
        </w:object>
      </w:r>
      <w:r w:rsidR="00BF5BF7" w:rsidRPr="000C021C">
        <w:rPr>
          <w:rStyle w:val="Ttulo1Char"/>
          <w:b/>
          <w:bCs/>
          <w:sz w:val="22"/>
          <w:szCs w:val="22"/>
        </w:rPr>
        <w:t>EXPECTATIVAS DO MERCADO FINANCEIRO 202</w:t>
      </w:r>
      <w:r w:rsidR="00E16EDA" w:rsidRPr="000C021C">
        <w:rPr>
          <w:rStyle w:val="Ttulo1Char"/>
          <w:b/>
          <w:bCs/>
          <w:sz w:val="22"/>
          <w:szCs w:val="22"/>
        </w:rPr>
        <w:t>5</w:t>
      </w:r>
      <w:r w:rsidR="00BF5BF7" w:rsidRPr="000C021C">
        <w:rPr>
          <w:rStyle w:val="Ttulo1Char"/>
          <w:b/>
          <w:bCs/>
          <w:sz w:val="22"/>
          <w:szCs w:val="22"/>
        </w:rPr>
        <w:t xml:space="preserve"> - BRASIL</w:t>
      </w:r>
      <w:bookmarkEnd w:id="13"/>
      <w:bookmarkEnd w:id="18"/>
      <w:r w:rsidR="00BF5BF7" w:rsidRPr="00ED4208">
        <w:rPr>
          <w:color w:val="17365D" w:themeColor="text2" w:themeShade="BF"/>
          <w:sz w:val="30"/>
          <w:szCs w:val="30"/>
        </w:rPr>
        <w:object w:dxaOrig="3163" w:dyaOrig="3187" w14:anchorId="0249EFC0">
          <v:shape id="_x0000_i1061" type="#_x0000_t75" style="width:21.75pt;height:24pt" o:ole="">
            <v:imagedata r:id="rId13" o:title=""/>
          </v:shape>
          <o:OLEObject Type="Embed" ProgID="CorelDRAW.Graphic.13" ShapeID="_x0000_i1061" DrawAspect="Content" ObjectID="_1793685934" r:id="rId55"/>
        </w:object>
      </w:r>
    </w:p>
    <w:p w14:paraId="5804BC21" w14:textId="77777777" w:rsidR="002B3FE6" w:rsidRDefault="002B3FE6" w:rsidP="00AD12FB">
      <w:pPr>
        <w:pStyle w:val="Ttulo2"/>
        <w:ind w:firstLine="709"/>
        <w:rPr>
          <w:b/>
          <w:bCs/>
          <w:color w:val="auto"/>
          <w:sz w:val="24"/>
          <w:szCs w:val="24"/>
        </w:rPr>
      </w:pPr>
      <w:bookmarkStart w:id="19" w:name="_Toc436040841"/>
    </w:p>
    <w:p w14:paraId="09B49407" w14:textId="6B2726B4" w:rsidR="003F013F" w:rsidRDefault="003F013F" w:rsidP="002B3FE6">
      <w:pPr>
        <w:pStyle w:val="Ttulo2"/>
        <w:spacing w:before="120"/>
        <w:rPr>
          <w:b/>
          <w:bCs/>
          <w:color w:val="auto"/>
          <w:sz w:val="24"/>
          <w:szCs w:val="24"/>
        </w:rPr>
      </w:pPr>
      <w:bookmarkStart w:id="20" w:name="_Toc181542569"/>
      <w:r w:rsidRPr="003F013F">
        <w:rPr>
          <w:b/>
          <w:bCs/>
          <w:color w:val="auto"/>
          <w:sz w:val="24"/>
          <w:szCs w:val="24"/>
        </w:rPr>
        <w:t>Renda Fixa</w:t>
      </w:r>
      <w:bookmarkEnd w:id="19"/>
      <w:bookmarkEnd w:id="20"/>
    </w:p>
    <w:p w14:paraId="6F9F964C" w14:textId="4F0EE257" w:rsidR="003F013F" w:rsidRPr="002B3FE6" w:rsidRDefault="003F013F" w:rsidP="002B3FE6">
      <w:pPr>
        <w:tabs>
          <w:tab w:val="left" w:pos="284"/>
        </w:tabs>
        <w:spacing w:before="120"/>
        <w:rPr>
          <w:rFonts w:ascii="Tahoma" w:hAnsi="Tahoma" w:cs="Tahoma"/>
          <w:b/>
          <w:sz w:val="20"/>
          <w:szCs w:val="20"/>
        </w:rPr>
      </w:pPr>
      <w:r w:rsidRPr="002B3FE6">
        <w:rPr>
          <w:rFonts w:ascii="Tahoma" w:hAnsi="Tahoma" w:cs="Tahoma"/>
          <w:b/>
          <w:sz w:val="20"/>
          <w:szCs w:val="20"/>
        </w:rPr>
        <w:t>Breve Histórico 2020-202</w:t>
      </w:r>
      <w:r w:rsidR="00D31186" w:rsidRPr="002B3FE6">
        <w:rPr>
          <w:rFonts w:ascii="Tahoma" w:hAnsi="Tahoma" w:cs="Tahoma"/>
          <w:b/>
          <w:sz w:val="20"/>
          <w:szCs w:val="20"/>
        </w:rPr>
        <w:t>3</w:t>
      </w:r>
    </w:p>
    <w:p w14:paraId="52247E16" w14:textId="77777777" w:rsidR="002B3FE6" w:rsidRPr="002B3FE6" w:rsidRDefault="002B3FE6" w:rsidP="00D93366">
      <w:pPr>
        <w:spacing w:after="120"/>
        <w:ind w:firstLine="709"/>
        <w:jc w:val="both"/>
        <w:rPr>
          <w:rFonts w:cs="Tahoma"/>
          <w:szCs w:val="20"/>
        </w:rPr>
      </w:pPr>
      <w:r w:rsidRPr="002B3FE6">
        <w:rPr>
          <w:rFonts w:cs="Tahoma"/>
          <w:szCs w:val="20"/>
        </w:rPr>
        <w:t>As incertezas trazidas pela pandemia do novo coronavírus alteraram radicalmente o comportamento previsto para 2020, com a busca de uma maior segurança pelos investidores estrangeiros ocasionando uma massiva saída líquida de recursos do país. Além das incertezas naturalmente advindas da pandemia, o agravamento da situação fiscal decorrente das políticas emergenciais de incentivo lançadas pelo Governo, também aumentaram a percepção de risco dos investidores. Por conseguinte, mesmo com uma taxa Selic atingindo sua mínima histórica, os indicadores anexados aos ativos de maior prazo registraram grande volatilidade no período, com a maioria dos indicadores IMA deixando de cumprir a meta atuarial ao final do exercício.</w:t>
      </w:r>
      <w:r w:rsidRPr="002B3FE6">
        <w:rPr>
          <w:rFonts w:cs="Tahoma"/>
          <w:szCs w:val="20"/>
        </w:rPr>
        <w:tab/>
      </w:r>
    </w:p>
    <w:p w14:paraId="5D05F977" w14:textId="77777777" w:rsidR="002B3FE6" w:rsidRPr="002B3FE6" w:rsidRDefault="002B3FE6" w:rsidP="00D93366">
      <w:pPr>
        <w:spacing w:after="120"/>
        <w:ind w:firstLine="709"/>
        <w:jc w:val="both"/>
        <w:rPr>
          <w:rFonts w:cs="Tahoma"/>
          <w:szCs w:val="20"/>
        </w:rPr>
      </w:pPr>
      <w:r w:rsidRPr="002B3FE6">
        <w:rPr>
          <w:rFonts w:cs="Tahoma"/>
          <w:szCs w:val="20"/>
        </w:rPr>
        <w:t xml:space="preserve">O ano de 2021, por sua vez, foi marcado pelo início das vacinações no país, que trouxeram consigo a expectativa da retomada de diversas atividades econômicas paralelamente à melhoria das condições sanitárias. No geral, o cenário no começo do ano indicava boa perspectiva de recuperação do PIB, inflação abaixo do centro da meta (3,5%) e uma taxa Selic chegando ao máximo a 4,5%, perspectivas estas que endereçavam um 2021 mais tranquilo para o segmento de renda fixa, com menor volatilidade e possível cumprimento das metas atuariais.  </w:t>
      </w:r>
    </w:p>
    <w:p w14:paraId="49404483" w14:textId="77777777" w:rsidR="002B3FE6" w:rsidRPr="002B3FE6" w:rsidRDefault="002B3FE6" w:rsidP="00D93366">
      <w:pPr>
        <w:spacing w:after="120"/>
        <w:ind w:firstLine="709"/>
        <w:jc w:val="both"/>
        <w:rPr>
          <w:rFonts w:cs="Tahoma"/>
          <w:szCs w:val="20"/>
        </w:rPr>
      </w:pPr>
      <w:r w:rsidRPr="002B3FE6">
        <w:rPr>
          <w:rFonts w:cs="Tahoma"/>
          <w:szCs w:val="20"/>
        </w:rPr>
        <w:lastRenderedPageBreak/>
        <w:t xml:space="preserve">Todavia, embora o programa de vacinações tenha de fato avançado em nível bem superior </w:t>
      </w:r>
      <w:proofErr w:type="spellStart"/>
      <w:r w:rsidRPr="002B3FE6">
        <w:rPr>
          <w:rFonts w:cs="Tahoma"/>
          <w:szCs w:val="20"/>
        </w:rPr>
        <w:t>a</w:t>
      </w:r>
      <w:proofErr w:type="spellEnd"/>
      <w:r w:rsidRPr="002B3FE6">
        <w:rPr>
          <w:rFonts w:cs="Tahoma"/>
          <w:szCs w:val="20"/>
        </w:rPr>
        <w:t xml:space="preserve"> média das economias em desenvolvimento, surtindo resultados altamente positivos e possibilitando a flexibilização das medidas de distanciamento social, a aceleração inflacionária ocorrida no período exigiu mudanças na condução da política monetária, com a alta da taxa Selic superando com folga a máxima inicialmente projetada.</w:t>
      </w:r>
    </w:p>
    <w:p w14:paraId="41914037" w14:textId="77777777" w:rsidR="002B3FE6" w:rsidRPr="002B3FE6" w:rsidRDefault="002B3FE6" w:rsidP="00D93366">
      <w:pPr>
        <w:spacing w:after="120"/>
        <w:ind w:firstLine="709"/>
        <w:jc w:val="both"/>
        <w:rPr>
          <w:rFonts w:cs="Tahoma"/>
          <w:szCs w:val="20"/>
        </w:rPr>
      </w:pPr>
      <w:r w:rsidRPr="002B3FE6">
        <w:rPr>
          <w:rFonts w:cs="Tahoma"/>
          <w:szCs w:val="20"/>
        </w:rPr>
        <w:t>Em consequência disso, houve grande desvalorização das carteiras indexadas aos títulos de maior prazo marcados a mercado, tanto dos pré-fixados, atrelados a índices de preços (NTN-</w:t>
      </w:r>
      <w:proofErr w:type="spellStart"/>
      <w:r w:rsidRPr="002B3FE6">
        <w:rPr>
          <w:rFonts w:cs="Tahoma"/>
          <w:szCs w:val="20"/>
        </w:rPr>
        <w:t>Bs</w:t>
      </w:r>
      <w:proofErr w:type="spellEnd"/>
      <w:r w:rsidRPr="002B3FE6">
        <w:rPr>
          <w:rFonts w:cs="Tahoma"/>
          <w:szCs w:val="20"/>
        </w:rPr>
        <w:t xml:space="preserve">), como dos pós-fixados (LFTs), corrigidos pela Selic. Ainda no campo das incertezas, a situação fiscal mais uma vez aumentou a aversão ao risco do investidor estrangeiro, cujas operações, mesmo tendo apresentado melhora em relação a 2020, voltaram a registrar saída líquida de recursos do país. Como resultado dessa conjuntura, o ano de 2021 foi marcado por um mau desempenho dos indicadores IMA. Enquanto os subíndices atrelados aos papéis de maior </w:t>
      </w:r>
      <w:proofErr w:type="spellStart"/>
      <w:r w:rsidRPr="002B3FE6">
        <w:rPr>
          <w:rFonts w:cs="Tahoma"/>
          <w:i/>
          <w:szCs w:val="20"/>
        </w:rPr>
        <w:t>duration</w:t>
      </w:r>
      <w:proofErr w:type="spellEnd"/>
      <w:r w:rsidRPr="002B3FE6">
        <w:rPr>
          <w:rFonts w:cs="Tahoma"/>
          <w:szCs w:val="20"/>
        </w:rPr>
        <w:t xml:space="preserve"> acumularam prejuízos, os títulos de prazos mais curtos encerraram o ano no azul, todavia, perfazendo ganhos insuficientes para cobrirem as metas atuariais. </w:t>
      </w:r>
    </w:p>
    <w:p w14:paraId="7C5943A9" w14:textId="77777777" w:rsidR="002B3FE6" w:rsidRPr="002B3FE6" w:rsidRDefault="002B3FE6" w:rsidP="00D93366">
      <w:pPr>
        <w:spacing w:after="120"/>
        <w:ind w:firstLine="709"/>
        <w:jc w:val="both"/>
        <w:rPr>
          <w:rFonts w:cs="Tahoma"/>
          <w:szCs w:val="20"/>
        </w:rPr>
      </w:pPr>
      <w:r w:rsidRPr="002B3FE6">
        <w:rPr>
          <w:rFonts w:cs="Tahoma"/>
          <w:szCs w:val="20"/>
        </w:rPr>
        <w:t xml:space="preserve">Já em 2022, em meio a continuidade do ciclo de alta da Selic e de uma resiliente inflação, o segmento de renda variável iniciou o ano sob suspeita, com o desempenho de todos os indicadores IMA, sobretudo das carteiras atreladas a ativos de maior prazo, novamente demonstrando dificuldade para o cumprimento de suas metas. </w:t>
      </w:r>
    </w:p>
    <w:p w14:paraId="0785A7C1" w14:textId="77777777" w:rsidR="002B3FE6" w:rsidRPr="002B3FE6" w:rsidRDefault="002B3FE6" w:rsidP="00D93366">
      <w:pPr>
        <w:spacing w:after="120"/>
        <w:ind w:firstLine="709"/>
        <w:jc w:val="both"/>
        <w:rPr>
          <w:rFonts w:cs="Tahoma"/>
          <w:szCs w:val="20"/>
        </w:rPr>
      </w:pPr>
      <w:r w:rsidRPr="002B3FE6">
        <w:rPr>
          <w:rFonts w:cs="Tahoma"/>
          <w:szCs w:val="20"/>
        </w:rPr>
        <w:t>Sob um cenário externo também pouco convidativo e carregado de incertezas, os investidores optaram por alocações de menor prazo e maior liquidez ao longo de 2022, razão pela qual os indicadores associados aos ativos de menor duração registraram maiores ganhos frente às alternativas de prazos mais longos.</w:t>
      </w:r>
    </w:p>
    <w:p w14:paraId="2D81463F" w14:textId="77777777" w:rsidR="002B3FE6" w:rsidRPr="002B3FE6" w:rsidRDefault="002B3FE6" w:rsidP="00D93366">
      <w:pPr>
        <w:spacing w:after="120"/>
        <w:ind w:firstLine="709"/>
        <w:jc w:val="both"/>
        <w:rPr>
          <w:rFonts w:cs="Tahoma"/>
          <w:szCs w:val="20"/>
        </w:rPr>
      </w:pPr>
      <w:r w:rsidRPr="002B3FE6">
        <w:rPr>
          <w:rFonts w:cs="Tahoma"/>
          <w:szCs w:val="20"/>
        </w:rPr>
        <w:t>Somente a partir de agosto, mês em que o COPOM promoveu a última alta da Selic, com todos agentes de mercado passando a prever queda dos juros a partir de 2023, é que as opções de longo prazo despertaram a preferência dos investidores, implicando retornos superiores ou muito próximos àqueles percebidos pelos ativos de menor prazo.</w:t>
      </w:r>
    </w:p>
    <w:p w14:paraId="53709C07" w14:textId="5ABF630C" w:rsidR="002B3FE6" w:rsidRDefault="002B3FE6" w:rsidP="00D93366">
      <w:pPr>
        <w:spacing w:after="120"/>
        <w:ind w:firstLine="709"/>
        <w:jc w:val="both"/>
        <w:rPr>
          <w:rFonts w:cs="Tahoma"/>
          <w:szCs w:val="20"/>
        </w:rPr>
      </w:pPr>
      <w:r w:rsidRPr="002B3FE6">
        <w:rPr>
          <w:rFonts w:cs="Tahoma"/>
          <w:szCs w:val="20"/>
        </w:rPr>
        <w:t>Por conseguinte, o resultado dos indicadores IMA em 202</w:t>
      </w:r>
      <w:r w:rsidR="006F42C2">
        <w:rPr>
          <w:rFonts w:cs="Tahoma"/>
          <w:szCs w:val="20"/>
        </w:rPr>
        <w:t>2</w:t>
      </w:r>
      <w:r w:rsidRPr="002B3FE6">
        <w:rPr>
          <w:rFonts w:cs="Tahoma"/>
          <w:szCs w:val="20"/>
        </w:rPr>
        <w:t xml:space="preserve"> foi significativamente melhor do que em 202</w:t>
      </w:r>
      <w:r w:rsidR="006F42C2">
        <w:rPr>
          <w:rFonts w:cs="Tahoma"/>
          <w:szCs w:val="20"/>
        </w:rPr>
        <w:t>1</w:t>
      </w:r>
      <w:r w:rsidRPr="002B3FE6">
        <w:rPr>
          <w:rFonts w:cs="Tahoma"/>
          <w:szCs w:val="20"/>
        </w:rPr>
        <w:t>, todavia, com apenas os subíndices atrelados aos títulos de curtíssimo prazo ficando acima da meta atuarial, mais especificamente os IMA-S (LFTs remuneradas pela Selic diária) e o IRF-M1 (pré-fixados com prazo não superior a um ano).</w:t>
      </w:r>
    </w:p>
    <w:p w14:paraId="37C76F36" w14:textId="5F95CB16" w:rsidR="00500468" w:rsidRPr="00500468" w:rsidRDefault="00500468" w:rsidP="00D93366">
      <w:pPr>
        <w:spacing w:after="120"/>
        <w:ind w:firstLine="709"/>
        <w:jc w:val="both"/>
        <w:rPr>
          <w:rFonts w:cs="Tahoma"/>
          <w:szCs w:val="20"/>
        </w:rPr>
      </w:pPr>
      <w:r w:rsidRPr="00500468">
        <w:rPr>
          <w:rFonts w:cs="Tahoma"/>
          <w:szCs w:val="20"/>
        </w:rPr>
        <w:t>Já em 2023, o segmento de renda fixa iniciou o ano maneira análoga aos meses que antecederam o encerramento de 2022. Em meio às incertezas advindas da troca de governo, sobretudo acerca da nova condução da pol</w:t>
      </w:r>
      <w:r w:rsidR="00481984">
        <w:rPr>
          <w:rFonts w:cs="Tahoma"/>
          <w:szCs w:val="20"/>
        </w:rPr>
        <w:t>í</w:t>
      </w:r>
      <w:r w:rsidRPr="00500468">
        <w:rPr>
          <w:rFonts w:cs="Tahoma"/>
          <w:szCs w:val="20"/>
        </w:rPr>
        <w:t xml:space="preserve">tica fiscal do país, os investidores aumentaram sua percepção ao risco frente às pioras nas projeções de inflação e juros vigentes à época. </w:t>
      </w:r>
    </w:p>
    <w:p w14:paraId="790229B4" w14:textId="78EFC524" w:rsidR="00500468" w:rsidRPr="00500468" w:rsidRDefault="00500468" w:rsidP="00D93366">
      <w:pPr>
        <w:spacing w:after="120"/>
        <w:ind w:firstLine="709"/>
        <w:jc w:val="both"/>
        <w:rPr>
          <w:rFonts w:cs="Tahoma"/>
          <w:szCs w:val="20"/>
        </w:rPr>
      </w:pPr>
      <w:r w:rsidRPr="00500468">
        <w:rPr>
          <w:rFonts w:cs="Tahoma"/>
          <w:szCs w:val="20"/>
        </w:rPr>
        <w:t xml:space="preserve">Todavia, a melhora das condições macroeconômicas tanto da economia doméstica como do setor externo alterou o rumo da rentabilidade dos </w:t>
      </w:r>
      <w:proofErr w:type="spellStart"/>
      <w:r w:rsidRPr="00500468">
        <w:rPr>
          <w:rFonts w:cs="Tahoma"/>
          <w:szCs w:val="20"/>
        </w:rPr>
        <w:t>IMAs</w:t>
      </w:r>
      <w:proofErr w:type="spellEnd"/>
      <w:r w:rsidRPr="00500468">
        <w:rPr>
          <w:rFonts w:cs="Tahoma"/>
          <w:szCs w:val="20"/>
        </w:rPr>
        <w:t xml:space="preserve"> ao longo do primeiro semestre de 2023, impulsionando a rentabilidade dos ativos de maior prazo. A perspectiva de queda da Selic e a crença no sucesso do novo arcabouço fiscal aumentaram o apetite do mercado por opções de prazos mais alongadas, somando-se a isso a tendência cada </w:t>
      </w:r>
      <w:r w:rsidR="00481984">
        <w:rPr>
          <w:rFonts w:cs="Tahoma"/>
          <w:szCs w:val="20"/>
        </w:rPr>
        <w:t xml:space="preserve">vez </w:t>
      </w:r>
      <w:r w:rsidRPr="00500468">
        <w:rPr>
          <w:rFonts w:cs="Tahoma"/>
          <w:szCs w:val="20"/>
        </w:rPr>
        <w:t xml:space="preserve">mais iminente de queda dos juros </w:t>
      </w:r>
      <w:proofErr w:type="spellStart"/>
      <w:r w:rsidRPr="00500468">
        <w:rPr>
          <w:rFonts w:cs="Tahoma"/>
          <w:szCs w:val="20"/>
        </w:rPr>
        <w:t>norte americanos</w:t>
      </w:r>
      <w:proofErr w:type="spellEnd"/>
      <w:r w:rsidRPr="00500468">
        <w:rPr>
          <w:rFonts w:cs="Tahoma"/>
          <w:szCs w:val="20"/>
        </w:rPr>
        <w:t>.</w:t>
      </w:r>
    </w:p>
    <w:p w14:paraId="6D96C995" w14:textId="216AE906" w:rsidR="00500468" w:rsidRPr="002B3FE6" w:rsidRDefault="00500468" w:rsidP="00D93366">
      <w:pPr>
        <w:spacing w:after="120"/>
        <w:ind w:firstLine="709"/>
        <w:jc w:val="both"/>
        <w:rPr>
          <w:rFonts w:cs="Tahoma"/>
          <w:szCs w:val="20"/>
        </w:rPr>
      </w:pPr>
      <w:r w:rsidRPr="00500468">
        <w:rPr>
          <w:rFonts w:cs="Tahoma"/>
          <w:szCs w:val="20"/>
        </w:rPr>
        <w:lastRenderedPageBreak/>
        <w:t>No segundo semestre houve alteração nas expectativas, quando a predileção por ativos de prazos mais curto</w:t>
      </w:r>
      <w:r w:rsidR="00481984">
        <w:rPr>
          <w:rFonts w:cs="Tahoma"/>
          <w:szCs w:val="20"/>
        </w:rPr>
        <w:t>s</w:t>
      </w:r>
      <w:r w:rsidRPr="00500468">
        <w:rPr>
          <w:rFonts w:cs="Tahoma"/>
          <w:szCs w:val="20"/>
        </w:rPr>
        <w:t xml:space="preserve"> aumentou em função do maior risco percebido pelos agentes econômicos. Possíveis mudanças de rota em termos de juros e inflação corroboraram tal instabilidade, contudo, sem implicar prejuízo ao atingimento das metas atuariais, uma vez que todos os indicadores IMA superaram os referenciais de mercado no período.</w:t>
      </w:r>
    </w:p>
    <w:p w14:paraId="221E9AC7" w14:textId="1468A637" w:rsidR="002B3FE6" w:rsidRPr="002B3FE6" w:rsidRDefault="00500468" w:rsidP="002B3FE6">
      <w:pPr>
        <w:pStyle w:val="PargrafodaLista"/>
        <w:spacing w:after="0"/>
        <w:rPr>
          <w:rFonts w:cs="Tahoma"/>
          <w:szCs w:val="20"/>
        </w:rPr>
      </w:pPr>
      <w:r w:rsidRPr="002150E6">
        <w:rPr>
          <w:noProof/>
        </w:rPr>
        <w:drawing>
          <wp:inline distT="0" distB="0" distL="0" distR="0" wp14:anchorId="0DBD575D" wp14:editId="33CD33EC">
            <wp:extent cx="4646644" cy="1836264"/>
            <wp:effectExtent l="0" t="0" r="20955" b="12065"/>
            <wp:docPr id="7" name="Gráfico 7"/>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p>
    <w:p w14:paraId="0B247CCB" w14:textId="5CE97E0C" w:rsidR="002B3FE6" w:rsidRPr="0054000D" w:rsidRDefault="002B3FE6" w:rsidP="00DA7372">
      <w:pPr>
        <w:spacing w:after="0" w:line="240" w:lineRule="auto"/>
        <w:ind w:left="851"/>
        <w:jc w:val="both"/>
        <w:rPr>
          <w:rFonts w:ascii="Tahoma" w:hAnsi="Tahoma" w:cs="Tahoma"/>
          <w:b/>
          <w:bCs/>
          <w:sz w:val="14"/>
          <w:szCs w:val="14"/>
        </w:rPr>
      </w:pPr>
      <w:r w:rsidRPr="0054000D">
        <w:rPr>
          <w:rFonts w:ascii="Tahoma" w:hAnsi="Tahoma" w:cs="Tahoma"/>
          <w:b/>
          <w:bCs/>
          <w:sz w:val="14"/>
          <w:szCs w:val="14"/>
        </w:rPr>
        <w:t>Gráfico 6 – Evolução IMA Geral 2015-202</w:t>
      </w:r>
      <w:r w:rsidR="00500468" w:rsidRPr="0054000D">
        <w:rPr>
          <w:rFonts w:ascii="Tahoma" w:hAnsi="Tahoma" w:cs="Tahoma"/>
          <w:b/>
          <w:bCs/>
          <w:sz w:val="14"/>
          <w:szCs w:val="14"/>
        </w:rPr>
        <w:t>3</w:t>
      </w:r>
    </w:p>
    <w:p w14:paraId="11D42994" w14:textId="77777777" w:rsidR="002B3FE6" w:rsidRPr="0054000D" w:rsidRDefault="002B3FE6" w:rsidP="00DA7372">
      <w:pPr>
        <w:spacing w:after="0" w:line="240" w:lineRule="auto"/>
        <w:ind w:left="851"/>
        <w:jc w:val="both"/>
        <w:rPr>
          <w:rFonts w:ascii="Tahoma" w:hAnsi="Tahoma" w:cs="Tahoma"/>
          <w:sz w:val="12"/>
          <w:szCs w:val="14"/>
        </w:rPr>
      </w:pPr>
      <w:r w:rsidRPr="0054000D">
        <w:rPr>
          <w:rFonts w:ascii="Tahoma" w:hAnsi="Tahoma" w:cs="Tahoma"/>
          <w:sz w:val="12"/>
          <w:szCs w:val="14"/>
        </w:rPr>
        <w:t xml:space="preserve">Fonte: </w:t>
      </w:r>
      <w:proofErr w:type="spellStart"/>
      <w:r w:rsidRPr="0054000D">
        <w:rPr>
          <w:rFonts w:ascii="Tahoma" w:hAnsi="Tahoma" w:cs="Tahoma"/>
          <w:sz w:val="12"/>
          <w:szCs w:val="14"/>
        </w:rPr>
        <w:t>Anbima</w:t>
      </w:r>
      <w:proofErr w:type="spellEnd"/>
      <w:r w:rsidRPr="0054000D">
        <w:rPr>
          <w:rFonts w:ascii="Tahoma" w:hAnsi="Tahoma" w:cs="Tahoma"/>
          <w:sz w:val="12"/>
          <w:szCs w:val="14"/>
        </w:rPr>
        <w:t>.</w:t>
      </w:r>
    </w:p>
    <w:p w14:paraId="134BBE3A" w14:textId="77777777" w:rsidR="002B3FE6" w:rsidRPr="002B3FE6" w:rsidRDefault="002B3FE6" w:rsidP="002B3FE6">
      <w:pPr>
        <w:pStyle w:val="PargrafodaLista"/>
        <w:spacing w:after="120"/>
        <w:rPr>
          <w:rFonts w:cs="Tahoma"/>
          <w:szCs w:val="20"/>
        </w:rPr>
      </w:pPr>
    </w:p>
    <w:p w14:paraId="5BCD7808" w14:textId="15CADD3A" w:rsidR="002B3FE6" w:rsidRPr="002B3FE6" w:rsidRDefault="002B3FE6" w:rsidP="00D93366">
      <w:pPr>
        <w:spacing w:after="120"/>
        <w:ind w:firstLine="709"/>
        <w:jc w:val="both"/>
        <w:rPr>
          <w:rFonts w:cs="Tahoma"/>
          <w:szCs w:val="20"/>
        </w:rPr>
      </w:pPr>
      <w:r w:rsidRPr="002B3FE6">
        <w:rPr>
          <w:rFonts w:cs="Tahoma"/>
          <w:szCs w:val="20"/>
        </w:rPr>
        <w:t>A partir da evolução do IMA Geral, o Gráfico acima resume o comportamento do segmento de renda fixa no período compreendido entre os anos de 2015 a 202</w:t>
      </w:r>
      <w:r w:rsidR="00500468">
        <w:rPr>
          <w:rFonts w:cs="Tahoma"/>
          <w:szCs w:val="20"/>
        </w:rPr>
        <w:t>3</w:t>
      </w:r>
      <w:r w:rsidRPr="002B3FE6">
        <w:rPr>
          <w:rFonts w:cs="Tahoma"/>
          <w:szCs w:val="20"/>
        </w:rPr>
        <w:t>, permitindo a rápida visualização dos anos em que o desempenho médio do setor superou as metas atuariais, representadas pela variação anual do IPCA acrescida de 6%.</w:t>
      </w:r>
    </w:p>
    <w:p w14:paraId="414F0D56" w14:textId="3177E127" w:rsidR="003F013F" w:rsidRPr="000C021C" w:rsidRDefault="003F013F" w:rsidP="000C021C">
      <w:pPr>
        <w:pStyle w:val="Ttulo2"/>
        <w:rPr>
          <w:rFonts w:ascii="Tahoma" w:hAnsi="Tahoma" w:cs="Tahoma"/>
          <w:b/>
          <w:color w:val="auto"/>
          <w:sz w:val="20"/>
          <w:szCs w:val="20"/>
        </w:rPr>
      </w:pPr>
      <w:bookmarkStart w:id="21" w:name="_Toc181542570"/>
      <w:r w:rsidRPr="000C021C">
        <w:rPr>
          <w:rFonts w:ascii="Tahoma" w:hAnsi="Tahoma" w:cs="Tahoma"/>
          <w:b/>
          <w:color w:val="auto"/>
          <w:sz w:val="20"/>
          <w:szCs w:val="20"/>
        </w:rPr>
        <w:t>Análise 202</w:t>
      </w:r>
      <w:r w:rsidR="00E16EDA" w:rsidRPr="000C021C">
        <w:rPr>
          <w:rFonts w:ascii="Tahoma" w:hAnsi="Tahoma" w:cs="Tahoma"/>
          <w:b/>
          <w:color w:val="auto"/>
          <w:sz w:val="20"/>
          <w:szCs w:val="20"/>
        </w:rPr>
        <w:t>4</w:t>
      </w:r>
      <w:r w:rsidRPr="000C021C">
        <w:rPr>
          <w:rFonts w:ascii="Tahoma" w:hAnsi="Tahoma" w:cs="Tahoma"/>
          <w:b/>
          <w:color w:val="auto"/>
          <w:sz w:val="20"/>
          <w:szCs w:val="20"/>
        </w:rPr>
        <w:t xml:space="preserve"> e Perspectivas para 202</w:t>
      </w:r>
      <w:r w:rsidR="00E16EDA" w:rsidRPr="000C021C">
        <w:rPr>
          <w:rFonts w:ascii="Tahoma" w:hAnsi="Tahoma" w:cs="Tahoma"/>
          <w:b/>
          <w:color w:val="auto"/>
          <w:sz w:val="20"/>
          <w:szCs w:val="20"/>
        </w:rPr>
        <w:t>5</w:t>
      </w:r>
      <w:bookmarkEnd w:id="21"/>
    </w:p>
    <w:p w14:paraId="3D558464" w14:textId="31C5A07A" w:rsidR="00500468" w:rsidRPr="00500468" w:rsidRDefault="00DA7372" w:rsidP="00D93366">
      <w:pPr>
        <w:tabs>
          <w:tab w:val="left" w:pos="284"/>
        </w:tabs>
        <w:spacing w:after="120"/>
        <w:jc w:val="both"/>
        <w:rPr>
          <w:rFonts w:cs="Tahoma"/>
          <w:szCs w:val="20"/>
        </w:rPr>
      </w:pPr>
      <w:r>
        <w:rPr>
          <w:rFonts w:cs="Tahoma"/>
          <w:szCs w:val="20"/>
        </w:rPr>
        <w:tab/>
      </w:r>
      <w:r>
        <w:rPr>
          <w:rFonts w:cs="Tahoma"/>
          <w:szCs w:val="20"/>
        </w:rPr>
        <w:tab/>
      </w:r>
      <w:r w:rsidR="00500468" w:rsidRPr="00500468">
        <w:rPr>
          <w:rFonts w:cs="Tahoma"/>
          <w:szCs w:val="20"/>
        </w:rPr>
        <w:t>Mesmo sob o prisma da expectativa de juros mais baixos, o setor de renda fixa não conseguiu reverter o pessimismo do mercado no decorrer do corrente exercício, que por conta da situação fiscal do país sempre manteve em alta sua percepção de risco. A confirmação de sucessivas quedas da Selic no primeiro semestre não sensibilizou os investidores a aumentarem o apetite por opções de prazos mais longos, ficando subentendido que tal avaliação e respectiva reprecificação dos ativos já havia sido feita no decurso do ano anterior.</w:t>
      </w:r>
    </w:p>
    <w:p w14:paraId="14C4B6C4" w14:textId="772134EC" w:rsidR="00500468" w:rsidRPr="00500468" w:rsidRDefault="00DA7372" w:rsidP="00D93366">
      <w:pPr>
        <w:tabs>
          <w:tab w:val="left" w:pos="284"/>
        </w:tabs>
        <w:spacing w:after="120"/>
        <w:jc w:val="both"/>
        <w:rPr>
          <w:rFonts w:cs="Tahoma"/>
          <w:szCs w:val="20"/>
        </w:rPr>
      </w:pPr>
      <w:r>
        <w:rPr>
          <w:rFonts w:cs="Tahoma"/>
          <w:szCs w:val="20"/>
        </w:rPr>
        <w:tab/>
      </w:r>
      <w:r>
        <w:rPr>
          <w:rFonts w:cs="Tahoma"/>
          <w:szCs w:val="20"/>
        </w:rPr>
        <w:tab/>
      </w:r>
      <w:r w:rsidR="00500468" w:rsidRPr="00500468">
        <w:rPr>
          <w:rFonts w:cs="Tahoma"/>
          <w:szCs w:val="20"/>
        </w:rPr>
        <w:t>A piora das expectativas inflacionárias ao longo de 2024 ameaçavam a continuidade do ciclo de queda da Selic, tendência essa confirmada a partir do segundo semestre, quando após sucessivas manutenções do indicador, um novo movimento de alta teve in</w:t>
      </w:r>
      <w:r w:rsidR="00481984">
        <w:rPr>
          <w:rFonts w:cs="Tahoma"/>
          <w:szCs w:val="20"/>
        </w:rPr>
        <w:t>í</w:t>
      </w:r>
      <w:r w:rsidR="00500468" w:rsidRPr="00500468">
        <w:rPr>
          <w:rFonts w:cs="Tahoma"/>
          <w:szCs w:val="20"/>
        </w:rPr>
        <w:t>cio em setembro. A título de exemplo cita-se que o IMA-B5+, subíndice que sinaliza a rentabilidade das NTN-</w:t>
      </w:r>
      <w:proofErr w:type="spellStart"/>
      <w:r w:rsidR="00500468" w:rsidRPr="00500468">
        <w:rPr>
          <w:rFonts w:cs="Tahoma"/>
          <w:szCs w:val="20"/>
        </w:rPr>
        <w:t>Bs</w:t>
      </w:r>
      <w:proofErr w:type="spellEnd"/>
      <w:r w:rsidR="00500468" w:rsidRPr="00500468">
        <w:rPr>
          <w:rFonts w:cs="Tahoma"/>
          <w:szCs w:val="20"/>
        </w:rPr>
        <w:t xml:space="preserve"> acima de 5 (cinco) anos, variou positivamente apenas em 04 (quatro) oportunidades nos primeiros 10 (dez) meses de 2024.</w:t>
      </w:r>
    </w:p>
    <w:p w14:paraId="7A35BB29" w14:textId="2DC94E83" w:rsidR="002B3FE6" w:rsidRPr="00500468" w:rsidRDefault="00DA7372" w:rsidP="00D93366">
      <w:pPr>
        <w:tabs>
          <w:tab w:val="left" w:pos="284"/>
        </w:tabs>
        <w:spacing w:after="120"/>
        <w:jc w:val="both"/>
        <w:rPr>
          <w:rFonts w:cs="Tahoma"/>
          <w:szCs w:val="20"/>
        </w:rPr>
      </w:pPr>
      <w:r>
        <w:rPr>
          <w:rFonts w:cs="Tahoma"/>
          <w:szCs w:val="20"/>
        </w:rPr>
        <w:tab/>
      </w:r>
      <w:r>
        <w:rPr>
          <w:rFonts w:cs="Tahoma"/>
          <w:szCs w:val="20"/>
        </w:rPr>
        <w:tab/>
      </w:r>
      <w:r w:rsidR="00500468" w:rsidRPr="00500468">
        <w:rPr>
          <w:rFonts w:cs="Tahoma"/>
          <w:szCs w:val="20"/>
        </w:rPr>
        <w:t>Dentre os meses em que referido indicador registrou variação positiva destacam-se julho (3,24%) e agosto (0,77%), que à primeira vista pareciam indicar uma possível mudança de rumo no segundo semestre do ano. Todavia, as variações obtidas acima dos seus pares de prazos mais curtos não se sustentaram no período, com os meses de setembro (-1,42%) e outubro (-1,66%) sendo marcados por novas variações negativas. Importante também destacar que</w:t>
      </w:r>
      <w:r w:rsidR="00481984">
        <w:rPr>
          <w:rFonts w:cs="Tahoma"/>
          <w:szCs w:val="20"/>
        </w:rPr>
        <w:t>,</w:t>
      </w:r>
      <w:r w:rsidR="00500468" w:rsidRPr="00500468">
        <w:rPr>
          <w:rFonts w:cs="Tahoma"/>
          <w:szCs w:val="20"/>
        </w:rPr>
        <w:t xml:space="preserve"> em termos acumulados</w:t>
      </w:r>
      <w:r w:rsidR="00481984">
        <w:rPr>
          <w:rFonts w:cs="Tahoma"/>
          <w:szCs w:val="20"/>
        </w:rPr>
        <w:t>,</w:t>
      </w:r>
      <w:r w:rsidR="00500468" w:rsidRPr="00500468">
        <w:rPr>
          <w:rFonts w:cs="Tahoma"/>
          <w:szCs w:val="20"/>
        </w:rPr>
        <w:t xml:space="preserve"> esse subíndice sempre esteve no campo negativo ao lo</w:t>
      </w:r>
      <w:r w:rsidR="00481984">
        <w:rPr>
          <w:rFonts w:cs="Tahoma"/>
          <w:szCs w:val="20"/>
        </w:rPr>
        <w:t>n</w:t>
      </w:r>
      <w:r w:rsidR="00500468" w:rsidRPr="00500468">
        <w:rPr>
          <w:rFonts w:cs="Tahoma"/>
          <w:szCs w:val="20"/>
        </w:rPr>
        <w:t>go de 2024.</w:t>
      </w:r>
    </w:p>
    <w:p w14:paraId="60568586" w14:textId="76DA495A" w:rsidR="002B3FE6" w:rsidRDefault="00500468" w:rsidP="00500468">
      <w:pPr>
        <w:tabs>
          <w:tab w:val="left" w:pos="284"/>
        </w:tabs>
        <w:spacing w:after="120"/>
        <w:jc w:val="center"/>
        <w:rPr>
          <w:rFonts w:cs="Tahoma"/>
          <w:szCs w:val="20"/>
        </w:rPr>
      </w:pPr>
      <w:r w:rsidRPr="002150E6">
        <w:rPr>
          <w:noProof/>
        </w:rPr>
        <w:lastRenderedPageBreak/>
        <w:drawing>
          <wp:inline distT="0" distB="0" distL="0" distR="0" wp14:anchorId="2F3CF905" wp14:editId="512A05AA">
            <wp:extent cx="4665306" cy="3172408"/>
            <wp:effectExtent l="0" t="0" r="21590" b="9525"/>
            <wp:docPr id="8" name="Gráfico 8"/>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inline>
        </w:drawing>
      </w:r>
    </w:p>
    <w:p w14:paraId="51F25FEA" w14:textId="77777777" w:rsidR="00500468" w:rsidRPr="0054000D" w:rsidRDefault="00500468" w:rsidP="00500468">
      <w:pPr>
        <w:spacing w:after="0" w:line="240" w:lineRule="auto"/>
        <w:ind w:left="851"/>
        <w:jc w:val="both"/>
        <w:rPr>
          <w:rFonts w:ascii="Tahoma" w:hAnsi="Tahoma" w:cs="Tahoma"/>
          <w:b/>
          <w:bCs/>
          <w:sz w:val="14"/>
          <w:szCs w:val="14"/>
        </w:rPr>
      </w:pPr>
      <w:r w:rsidRPr="0054000D">
        <w:rPr>
          <w:rFonts w:ascii="Tahoma" w:hAnsi="Tahoma" w:cs="Tahoma"/>
          <w:b/>
          <w:bCs/>
          <w:sz w:val="14"/>
          <w:szCs w:val="14"/>
        </w:rPr>
        <w:t>Gráfico 7 – Rentabilidade acumulada dos principais Indicadores IMA (%)</w:t>
      </w:r>
    </w:p>
    <w:p w14:paraId="5A567F4E" w14:textId="77777777" w:rsidR="00500468" w:rsidRPr="0054000D" w:rsidRDefault="00500468" w:rsidP="00500468">
      <w:pPr>
        <w:spacing w:after="0" w:line="240" w:lineRule="auto"/>
        <w:ind w:left="851"/>
        <w:jc w:val="both"/>
        <w:rPr>
          <w:rFonts w:ascii="Tahoma" w:hAnsi="Tahoma" w:cs="Tahoma"/>
          <w:sz w:val="12"/>
          <w:szCs w:val="14"/>
        </w:rPr>
      </w:pPr>
      <w:r w:rsidRPr="0054000D">
        <w:rPr>
          <w:rFonts w:ascii="Tahoma" w:hAnsi="Tahoma" w:cs="Tahoma"/>
          <w:sz w:val="12"/>
          <w:szCs w:val="14"/>
        </w:rPr>
        <w:t>Fonte: ANBIMA</w:t>
      </w:r>
    </w:p>
    <w:p w14:paraId="435EB15F" w14:textId="77777777" w:rsidR="00500468" w:rsidRPr="0054000D" w:rsidRDefault="00500468" w:rsidP="00500468">
      <w:pPr>
        <w:spacing w:after="120"/>
        <w:ind w:left="851"/>
        <w:jc w:val="both"/>
        <w:rPr>
          <w:rFonts w:ascii="Tahoma" w:hAnsi="Tahoma" w:cs="Tahoma"/>
          <w:sz w:val="12"/>
          <w:szCs w:val="14"/>
        </w:rPr>
      </w:pPr>
      <w:r w:rsidRPr="0054000D">
        <w:rPr>
          <w:rFonts w:ascii="Tahoma" w:hAnsi="Tahoma" w:cs="Tahoma"/>
          <w:sz w:val="12"/>
          <w:szCs w:val="14"/>
        </w:rPr>
        <w:t xml:space="preserve">OBS: </w:t>
      </w:r>
      <w:proofErr w:type="gramStart"/>
      <w:r w:rsidRPr="0054000D">
        <w:rPr>
          <w:rFonts w:ascii="Tahoma" w:hAnsi="Tahoma" w:cs="Tahoma"/>
          <w:sz w:val="12"/>
          <w:szCs w:val="14"/>
        </w:rPr>
        <w:t>Janeiro</w:t>
      </w:r>
      <w:proofErr w:type="gramEnd"/>
      <w:r w:rsidRPr="0054000D">
        <w:rPr>
          <w:rFonts w:ascii="Tahoma" w:hAnsi="Tahoma" w:cs="Tahoma"/>
          <w:sz w:val="12"/>
          <w:szCs w:val="14"/>
        </w:rPr>
        <w:t xml:space="preserve"> a Outubro de 2024 – IPCA de outubro estimado com base no IPCA-15</w:t>
      </w:r>
    </w:p>
    <w:p w14:paraId="2695E44E" w14:textId="148FC9C0" w:rsidR="00500468" w:rsidRPr="00500468" w:rsidRDefault="00DA7372" w:rsidP="00D93366">
      <w:pPr>
        <w:tabs>
          <w:tab w:val="left" w:pos="284"/>
        </w:tabs>
        <w:spacing w:after="120"/>
        <w:jc w:val="both"/>
        <w:rPr>
          <w:rFonts w:cs="Tahoma"/>
          <w:szCs w:val="20"/>
        </w:rPr>
      </w:pPr>
      <w:r>
        <w:rPr>
          <w:rFonts w:cs="Tahoma"/>
          <w:szCs w:val="20"/>
        </w:rPr>
        <w:tab/>
      </w:r>
      <w:r>
        <w:rPr>
          <w:rFonts w:cs="Tahoma"/>
          <w:szCs w:val="20"/>
        </w:rPr>
        <w:tab/>
      </w:r>
      <w:r w:rsidR="00500468" w:rsidRPr="00500468">
        <w:rPr>
          <w:rFonts w:cs="Tahoma"/>
          <w:szCs w:val="20"/>
        </w:rPr>
        <w:t xml:space="preserve">Trajetória não muito diferente foi registrada pelo subíndice IRF-M1+, atrelado aos títulos pré-fixados de prazos mais longos. Além de contabilizar prejuízo em 03 (três) meses do ano, as variações positivas obtidas no período, com exceção do mês de julho, sempre foram inferiores aos pré-fixados de menor prazo (IRF-M1), nunca conseguindo cobrir as necessidades atuariais. </w:t>
      </w:r>
    </w:p>
    <w:p w14:paraId="5F644140" w14:textId="208A1B5D" w:rsidR="00500468" w:rsidRPr="00500468" w:rsidRDefault="00DA7372" w:rsidP="00D93366">
      <w:pPr>
        <w:tabs>
          <w:tab w:val="left" w:pos="284"/>
        </w:tabs>
        <w:spacing w:after="120"/>
        <w:jc w:val="both"/>
        <w:rPr>
          <w:rFonts w:cs="Tahoma"/>
          <w:szCs w:val="20"/>
        </w:rPr>
      </w:pPr>
      <w:r>
        <w:rPr>
          <w:rFonts w:cs="Tahoma"/>
          <w:szCs w:val="20"/>
        </w:rPr>
        <w:tab/>
      </w:r>
      <w:r>
        <w:rPr>
          <w:rFonts w:cs="Tahoma"/>
          <w:szCs w:val="20"/>
        </w:rPr>
        <w:tab/>
      </w:r>
      <w:r w:rsidR="00500468" w:rsidRPr="00500468">
        <w:rPr>
          <w:rFonts w:cs="Tahoma"/>
          <w:szCs w:val="20"/>
        </w:rPr>
        <w:t xml:space="preserve">Por outro lado, mesmo apresentando melhores rendimentos em relação às opções de maior </w:t>
      </w:r>
      <w:proofErr w:type="spellStart"/>
      <w:r w:rsidR="00500468" w:rsidRPr="00500468">
        <w:rPr>
          <w:rFonts w:cs="Tahoma"/>
          <w:szCs w:val="20"/>
        </w:rPr>
        <w:t>duration</w:t>
      </w:r>
      <w:proofErr w:type="spellEnd"/>
      <w:r w:rsidR="00500468" w:rsidRPr="00500468">
        <w:rPr>
          <w:rFonts w:cs="Tahoma"/>
          <w:szCs w:val="20"/>
        </w:rPr>
        <w:t>, os subíndices vinculados aos ativos de menor prazo também não empolgaram em 2024, apresentando ganhos acumulados invariavelmente inferiores às metas atuariais. A exceção ficou com o IMA-S, indicador de curtíssimo prazo atrelado à variação diária da Selic, cuja rentabilidade praticamente se igualou à meta atuarial de referência, inclusive superando esta última a partir do mês de julho.</w:t>
      </w:r>
    </w:p>
    <w:p w14:paraId="4335EC47" w14:textId="1ED5B808" w:rsidR="00500468" w:rsidRDefault="00DA7372" w:rsidP="00D93366">
      <w:pPr>
        <w:tabs>
          <w:tab w:val="left" w:pos="284"/>
        </w:tabs>
        <w:spacing w:after="120"/>
        <w:jc w:val="both"/>
        <w:rPr>
          <w:rFonts w:cs="Tahoma"/>
          <w:szCs w:val="20"/>
        </w:rPr>
      </w:pPr>
      <w:r>
        <w:rPr>
          <w:rFonts w:cs="Tahoma"/>
          <w:szCs w:val="20"/>
        </w:rPr>
        <w:tab/>
      </w:r>
      <w:r>
        <w:rPr>
          <w:rFonts w:cs="Tahoma"/>
          <w:szCs w:val="20"/>
        </w:rPr>
        <w:tab/>
      </w:r>
      <w:r w:rsidR="00500468" w:rsidRPr="00500468">
        <w:rPr>
          <w:rFonts w:cs="Tahoma"/>
          <w:szCs w:val="20"/>
        </w:rPr>
        <w:t>Embora</w:t>
      </w:r>
      <w:r w:rsidR="00481984">
        <w:rPr>
          <w:rFonts w:cs="Tahoma"/>
          <w:szCs w:val="20"/>
        </w:rPr>
        <w:t>,</w:t>
      </w:r>
      <w:r w:rsidR="00500468" w:rsidRPr="00500468">
        <w:rPr>
          <w:rFonts w:cs="Tahoma"/>
          <w:szCs w:val="20"/>
        </w:rPr>
        <w:t xml:space="preserve"> em ritmo menos acelerado e iniciando depois do previsto, a queda dos juros </w:t>
      </w:r>
      <w:proofErr w:type="spellStart"/>
      <w:r w:rsidR="00500468" w:rsidRPr="00500468">
        <w:rPr>
          <w:rFonts w:cs="Tahoma"/>
          <w:szCs w:val="20"/>
        </w:rPr>
        <w:t>norte americanos</w:t>
      </w:r>
      <w:proofErr w:type="spellEnd"/>
      <w:r w:rsidR="00500468" w:rsidRPr="00500468">
        <w:rPr>
          <w:rFonts w:cs="Tahoma"/>
          <w:szCs w:val="20"/>
        </w:rPr>
        <w:t xml:space="preserve"> acabou repercutindo menos do que o previsto na rentabilidade da renda fixa, sinalizando que, de fato, as questões domésticas pesaram mais nas escolhas do investidor do que o comportamento da economia internacional.</w:t>
      </w:r>
    </w:p>
    <w:p w14:paraId="77F92C82" w14:textId="2D2D7A94" w:rsidR="00500468" w:rsidRDefault="00500468" w:rsidP="00500468">
      <w:pPr>
        <w:tabs>
          <w:tab w:val="left" w:pos="284"/>
        </w:tabs>
        <w:spacing w:after="120"/>
        <w:jc w:val="center"/>
        <w:rPr>
          <w:rFonts w:cs="Tahoma"/>
          <w:szCs w:val="20"/>
        </w:rPr>
      </w:pPr>
      <w:r w:rsidRPr="002150E6">
        <w:rPr>
          <w:noProof/>
        </w:rPr>
        <w:lastRenderedPageBreak/>
        <w:drawing>
          <wp:inline distT="0" distB="0" distL="0" distR="0" wp14:anchorId="44C44347" wp14:editId="3855C785">
            <wp:extent cx="4679950" cy="3518544"/>
            <wp:effectExtent l="0" t="0" r="25400" b="24765"/>
            <wp:docPr id="11" name="Gráfico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inline>
        </w:drawing>
      </w:r>
    </w:p>
    <w:p w14:paraId="2E2D287C" w14:textId="77777777" w:rsidR="00500468" w:rsidRPr="0054000D" w:rsidRDefault="00500468" w:rsidP="00500468">
      <w:pPr>
        <w:spacing w:after="0" w:line="240" w:lineRule="auto"/>
        <w:ind w:left="851"/>
        <w:jc w:val="both"/>
        <w:rPr>
          <w:rFonts w:ascii="Tahoma" w:hAnsi="Tahoma" w:cs="Tahoma"/>
          <w:b/>
          <w:bCs/>
          <w:sz w:val="14"/>
          <w:szCs w:val="14"/>
        </w:rPr>
      </w:pPr>
      <w:r w:rsidRPr="0054000D">
        <w:rPr>
          <w:rFonts w:ascii="Tahoma" w:hAnsi="Tahoma" w:cs="Tahoma"/>
          <w:b/>
          <w:bCs/>
          <w:sz w:val="14"/>
          <w:szCs w:val="14"/>
        </w:rPr>
        <w:t>Gráfico 8 – Rentabilidade acumulada dos índices atrelados a ativos de maior duração (%)</w:t>
      </w:r>
    </w:p>
    <w:p w14:paraId="1576F158" w14:textId="77777777" w:rsidR="00500468" w:rsidRPr="0054000D" w:rsidRDefault="00500468" w:rsidP="00500468">
      <w:pPr>
        <w:spacing w:after="0" w:line="240" w:lineRule="auto"/>
        <w:ind w:left="851"/>
        <w:jc w:val="both"/>
        <w:rPr>
          <w:rFonts w:ascii="Tahoma" w:hAnsi="Tahoma" w:cs="Tahoma"/>
          <w:sz w:val="12"/>
          <w:szCs w:val="14"/>
        </w:rPr>
      </w:pPr>
      <w:r w:rsidRPr="0054000D">
        <w:rPr>
          <w:rFonts w:ascii="Tahoma" w:hAnsi="Tahoma" w:cs="Tahoma"/>
          <w:sz w:val="12"/>
          <w:szCs w:val="14"/>
        </w:rPr>
        <w:t>Fonte: ANBIMA.</w:t>
      </w:r>
    </w:p>
    <w:p w14:paraId="553DE2B4" w14:textId="29D6EDE6" w:rsidR="00500468" w:rsidRPr="0054000D" w:rsidRDefault="00500468" w:rsidP="00500468">
      <w:pPr>
        <w:spacing w:after="240"/>
        <w:ind w:left="851"/>
        <w:jc w:val="both"/>
        <w:rPr>
          <w:rFonts w:cs="Tahoma"/>
          <w:sz w:val="18"/>
          <w:szCs w:val="16"/>
        </w:rPr>
      </w:pPr>
      <w:r w:rsidRPr="0054000D">
        <w:rPr>
          <w:rFonts w:ascii="Tahoma" w:hAnsi="Tahoma" w:cs="Tahoma"/>
          <w:sz w:val="12"/>
          <w:szCs w:val="14"/>
        </w:rPr>
        <w:t xml:space="preserve">OBS: </w:t>
      </w:r>
      <w:proofErr w:type="gramStart"/>
      <w:r w:rsidRPr="0054000D">
        <w:rPr>
          <w:rFonts w:ascii="Tahoma" w:hAnsi="Tahoma" w:cs="Tahoma"/>
          <w:sz w:val="12"/>
          <w:szCs w:val="14"/>
        </w:rPr>
        <w:t>Janeiro</w:t>
      </w:r>
      <w:proofErr w:type="gramEnd"/>
      <w:r w:rsidRPr="0054000D">
        <w:rPr>
          <w:rFonts w:ascii="Tahoma" w:hAnsi="Tahoma" w:cs="Tahoma"/>
          <w:sz w:val="12"/>
          <w:szCs w:val="14"/>
        </w:rPr>
        <w:t xml:space="preserve"> a Outubro de 2024 – IPCA de outubro estimado com base no IPCA-15</w:t>
      </w:r>
    </w:p>
    <w:p w14:paraId="3C20BD2B" w14:textId="63940E02" w:rsidR="00500468" w:rsidRPr="00500468" w:rsidRDefault="00DA7372" w:rsidP="00D93366">
      <w:pPr>
        <w:tabs>
          <w:tab w:val="left" w:pos="284"/>
        </w:tabs>
        <w:spacing w:after="120"/>
        <w:jc w:val="both"/>
        <w:rPr>
          <w:rFonts w:cs="Tahoma"/>
          <w:szCs w:val="20"/>
        </w:rPr>
      </w:pPr>
      <w:r>
        <w:rPr>
          <w:rFonts w:cs="Tahoma"/>
          <w:szCs w:val="20"/>
        </w:rPr>
        <w:tab/>
      </w:r>
      <w:r>
        <w:rPr>
          <w:rFonts w:cs="Tahoma"/>
          <w:szCs w:val="20"/>
        </w:rPr>
        <w:tab/>
      </w:r>
      <w:r w:rsidR="00500468" w:rsidRPr="00500468">
        <w:rPr>
          <w:rFonts w:cs="Tahoma"/>
          <w:szCs w:val="20"/>
        </w:rPr>
        <w:t>Em síntese, diferentemente do comportamento verificado no ano anterior, onde</w:t>
      </w:r>
      <w:r w:rsidR="00481984">
        <w:rPr>
          <w:rFonts w:cs="Tahoma"/>
          <w:szCs w:val="20"/>
        </w:rPr>
        <w:t>,</w:t>
      </w:r>
      <w:r w:rsidR="00500468" w:rsidRPr="00500468">
        <w:rPr>
          <w:rFonts w:cs="Tahoma"/>
          <w:szCs w:val="20"/>
        </w:rPr>
        <w:t xml:space="preserve"> além de bater as metas atuariais</w:t>
      </w:r>
      <w:r w:rsidR="00481984">
        <w:rPr>
          <w:rFonts w:cs="Tahoma"/>
          <w:szCs w:val="20"/>
        </w:rPr>
        <w:t>,</w:t>
      </w:r>
      <w:r w:rsidR="00500468" w:rsidRPr="00500468">
        <w:rPr>
          <w:rFonts w:cs="Tahoma"/>
          <w:szCs w:val="20"/>
        </w:rPr>
        <w:t xml:space="preserve"> os subíndices IMA registraram movimentos distintos na comparação entre o primeiro e o segundo semestre, a performance de 2024 sempre esteve aquém das necessidades de retorno, sendo percebida</w:t>
      </w:r>
      <w:r w:rsidR="00481984">
        <w:rPr>
          <w:rFonts w:cs="Tahoma"/>
          <w:szCs w:val="20"/>
        </w:rPr>
        <w:t>s</w:t>
      </w:r>
      <w:r w:rsidR="00500468" w:rsidRPr="00500468">
        <w:rPr>
          <w:rFonts w:cs="Tahoma"/>
          <w:szCs w:val="20"/>
        </w:rPr>
        <w:t xml:space="preserve"> pequenas alterações em determinados meses, mas que nunca provocaram alterações nas expectativas de longo prazo. </w:t>
      </w:r>
    </w:p>
    <w:p w14:paraId="5A17215B" w14:textId="628967A0" w:rsidR="00500468" w:rsidRDefault="00DA7372" w:rsidP="00D93366">
      <w:pPr>
        <w:tabs>
          <w:tab w:val="left" w:pos="284"/>
        </w:tabs>
        <w:spacing w:after="120"/>
        <w:jc w:val="both"/>
        <w:rPr>
          <w:rFonts w:cs="Tahoma"/>
          <w:szCs w:val="20"/>
        </w:rPr>
      </w:pPr>
      <w:r>
        <w:rPr>
          <w:rFonts w:cs="Tahoma"/>
          <w:szCs w:val="20"/>
        </w:rPr>
        <w:tab/>
      </w:r>
      <w:r>
        <w:rPr>
          <w:rFonts w:cs="Tahoma"/>
          <w:szCs w:val="20"/>
        </w:rPr>
        <w:tab/>
      </w:r>
      <w:r w:rsidR="00500468" w:rsidRPr="00500468">
        <w:rPr>
          <w:rFonts w:cs="Tahoma"/>
          <w:szCs w:val="20"/>
        </w:rPr>
        <w:t>Com efeito, o IMA-Geral, indicador que reflete a rentabilidade dos títulos marcados a mercado como um todo, acumulou ganho de 5,39%</w:t>
      </w:r>
      <w:r w:rsidR="00481984">
        <w:rPr>
          <w:rFonts w:cs="Tahoma"/>
          <w:szCs w:val="20"/>
        </w:rPr>
        <w:t>,</w:t>
      </w:r>
      <w:r w:rsidR="00500468" w:rsidRPr="00500468">
        <w:rPr>
          <w:rFonts w:cs="Tahoma"/>
          <w:szCs w:val="20"/>
        </w:rPr>
        <w:t xml:space="preserve"> no conjunto dos primeiros 10 (dez) meses do ano, ou seja, pouco mais da metade estimada como suficiente para o atingimento da meta atuarial (9,03%). Em termos mensais, o IMA-Geral ficou no negativo apenas em abril (-0,22%), registrando seu maior retorno em julho (1,36%), não por coincidência mês em que os ativos de maior prazo obtiveram seus melhores desempenhos.</w:t>
      </w:r>
    </w:p>
    <w:p w14:paraId="516B9656" w14:textId="667A1E81" w:rsidR="00500468" w:rsidRDefault="00500468" w:rsidP="00500468">
      <w:pPr>
        <w:tabs>
          <w:tab w:val="left" w:pos="284"/>
        </w:tabs>
        <w:spacing w:after="120"/>
        <w:jc w:val="center"/>
        <w:rPr>
          <w:rFonts w:cs="Tahoma"/>
          <w:szCs w:val="20"/>
        </w:rPr>
      </w:pPr>
      <w:r w:rsidRPr="002150E6">
        <w:rPr>
          <w:noProof/>
        </w:rPr>
        <w:lastRenderedPageBreak/>
        <w:drawing>
          <wp:inline distT="0" distB="0" distL="0" distR="0" wp14:anchorId="75F1331F" wp14:editId="41431A8E">
            <wp:extent cx="4679950" cy="3522851"/>
            <wp:effectExtent l="0" t="0" r="25400" b="20955"/>
            <wp:docPr id="2018248272" name="Gráfico 2018248272"/>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inline>
        </w:drawing>
      </w:r>
    </w:p>
    <w:p w14:paraId="23B09ABF" w14:textId="77777777" w:rsidR="00500468" w:rsidRPr="0054000D" w:rsidRDefault="00500468" w:rsidP="00500468">
      <w:pPr>
        <w:spacing w:after="0" w:line="240" w:lineRule="auto"/>
        <w:ind w:left="851"/>
        <w:jc w:val="both"/>
        <w:rPr>
          <w:rFonts w:ascii="Tahoma" w:hAnsi="Tahoma" w:cs="Tahoma"/>
          <w:b/>
          <w:bCs/>
          <w:sz w:val="14"/>
          <w:szCs w:val="14"/>
        </w:rPr>
      </w:pPr>
      <w:r w:rsidRPr="0054000D">
        <w:rPr>
          <w:rFonts w:ascii="Tahoma" w:hAnsi="Tahoma" w:cs="Tahoma"/>
          <w:b/>
          <w:bCs/>
          <w:sz w:val="14"/>
          <w:szCs w:val="14"/>
        </w:rPr>
        <w:t>Gráfico 9 – Rentabilidade acumulada dos índices atrelados a ativos de menor duração (%)</w:t>
      </w:r>
    </w:p>
    <w:p w14:paraId="492D6621" w14:textId="77777777" w:rsidR="00500468" w:rsidRPr="0054000D" w:rsidRDefault="00500468" w:rsidP="00500468">
      <w:pPr>
        <w:spacing w:after="0" w:line="240" w:lineRule="auto"/>
        <w:ind w:left="851"/>
        <w:jc w:val="both"/>
        <w:rPr>
          <w:rFonts w:ascii="Tahoma" w:hAnsi="Tahoma" w:cs="Tahoma"/>
          <w:sz w:val="12"/>
          <w:szCs w:val="14"/>
        </w:rPr>
      </w:pPr>
      <w:r w:rsidRPr="0054000D">
        <w:rPr>
          <w:rFonts w:ascii="Tahoma" w:hAnsi="Tahoma" w:cs="Tahoma"/>
          <w:sz w:val="12"/>
          <w:szCs w:val="14"/>
        </w:rPr>
        <w:t>Fonte: ANBIMA.</w:t>
      </w:r>
    </w:p>
    <w:p w14:paraId="5D689934" w14:textId="62CE28BA" w:rsidR="00500468" w:rsidRPr="0054000D" w:rsidRDefault="00500468" w:rsidP="00500468">
      <w:pPr>
        <w:spacing w:after="240"/>
        <w:ind w:left="851"/>
        <w:jc w:val="both"/>
        <w:rPr>
          <w:rFonts w:cs="Tahoma"/>
          <w:sz w:val="18"/>
          <w:szCs w:val="16"/>
        </w:rPr>
      </w:pPr>
      <w:r w:rsidRPr="0054000D">
        <w:rPr>
          <w:rFonts w:ascii="Tahoma" w:hAnsi="Tahoma" w:cs="Tahoma"/>
          <w:sz w:val="12"/>
          <w:szCs w:val="14"/>
        </w:rPr>
        <w:t xml:space="preserve">OBS: </w:t>
      </w:r>
      <w:proofErr w:type="gramStart"/>
      <w:r w:rsidRPr="0054000D">
        <w:rPr>
          <w:rFonts w:ascii="Tahoma" w:hAnsi="Tahoma" w:cs="Tahoma"/>
          <w:sz w:val="12"/>
          <w:szCs w:val="14"/>
        </w:rPr>
        <w:t>Janeiro</w:t>
      </w:r>
      <w:proofErr w:type="gramEnd"/>
      <w:r w:rsidRPr="0054000D">
        <w:rPr>
          <w:rFonts w:ascii="Tahoma" w:hAnsi="Tahoma" w:cs="Tahoma"/>
          <w:sz w:val="12"/>
          <w:szCs w:val="14"/>
        </w:rPr>
        <w:t xml:space="preserve"> a Outubro de 2024 – IPCA de outubro estimado com base no IPCA-15</w:t>
      </w:r>
    </w:p>
    <w:p w14:paraId="7051E6A5" w14:textId="100B7BC6" w:rsidR="00500468" w:rsidRPr="00500468" w:rsidRDefault="00DA7372" w:rsidP="00D93366">
      <w:pPr>
        <w:tabs>
          <w:tab w:val="left" w:pos="284"/>
        </w:tabs>
        <w:spacing w:after="120"/>
        <w:jc w:val="both"/>
        <w:rPr>
          <w:rFonts w:cs="Tahoma"/>
          <w:szCs w:val="20"/>
        </w:rPr>
      </w:pPr>
      <w:r>
        <w:rPr>
          <w:rFonts w:cs="Tahoma"/>
          <w:szCs w:val="20"/>
        </w:rPr>
        <w:tab/>
      </w:r>
      <w:r>
        <w:rPr>
          <w:rFonts w:cs="Tahoma"/>
          <w:szCs w:val="20"/>
        </w:rPr>
        <w:tab/>
      </w:r>
      <w:r w:rsidR="00500468" w:rsidRPr="00500468">
        <w:rPr>
          <w:rFonts w:cs="Tahoma"/>
          <w:szCs w:val="20"/>
        </w:rPr>
        <w:t xml:space="preserve">No que tange às previsões para 2025, as expectativas apontam para a manutenção de uma política monetária com viés de maior austeridade, com pequena redução da Selic em relação ao fechamento esperado para 2024. Em contrapartida, a projeção é de arrefecimento do IPCA, permanecendo acima do centro da meta, mas recuando em relação ao teto, o que por si só justifica a tendência de menor afrouxamento monetário. </w:t>
      </w:r>
    </w:p>
    <w:p w14:paraId="110A38F0" w14:textId="31BB0CA2" w:rsidR="00500468" w:rsidRPr="00500468" w:rsidRDefault="00DA7372" w:rsidP="00D93366">
      <w:pPr>
        <w:tabs>
          <w:tab w:val="left" w:pos="284"/>
        </w:tabs>
        <w:spacing w:after="120"/>
        <w:jc w:val="both"/>
        <w:rPr>
          <w:rFonts w:cs="Tahoma"/>
          <w:szCs w:val="20"/>
        </w:rPr>
      </w:pPr>
      <w:r>
        <w:rPr>
          <w:rFonts w:cs="Tahoma"/>
          <w:szCs w:val="20"/>
        </w:rPr>
        <w:tab/>
      </w:r>
      <w:r>
        <w:rPr>
          <w:rFonts w:cs="Tahoma"/>
          <w:szCs w:val="20"/>
        </w:rPr>
        <w:tab/>
      </w:r>
      <w:r w:rsidR="00500468" w:rsidRPr="00500468">
        <w:rPr>
          <w:rFonts w:cs="Tahoma"/>
          <w:szCs w:val="20"/>
        </w:rPr>
        <w:t xml:space="preserve">No mesmo sentido, as questões fiscais também não vislumbram grandes modificações em relação a 2024, consistindo novamente no principal grau de risco da economia brasileira. A continuidade dos déficits primários segue sendo uma tendência para 2025, uma vez que o arranjo fiscal concebido não tem logrado êxito em relação à busca de novas receitas capazes de fazer frente às despesas assumidas pelo governo, cujos programas sociais foram aprofundados no último biênio. </w:t>
      </w:r>
    </w:p>
    <w:p w14:paraId="5036FF5E" w14:textId="1971FD25" w:rsidR="00500468" w:rsidRPr="00500468" w:rsidRDefault="00DA7372" w:rsidP="00D93366">
      <w:pPr>
        <w:tabs>
          <w:tab w:val="left" w:pos="284"/>
        </w:tabs>
        <w:spacing w:after="120"/>
        <w:jc w:val="both"/>
        <w:rPr>
          <w:rFonts w:cs="Tahoma"/>
          <w:szCs w:val="20"/>
        </w:rPr>
      </w:pPr>
      <w:r>
        <w:rPr>
          <w:rFonts w:cs="Tahoma"/>
          <w:szCs w:val="20"/>
        </w:rPr>
        <w:tab/>
      </w:r>
      <w:r>
        <w:rPr>
          <w:rFonts w:cs="Tahoma"/>
          <w:szCs w:val="20"/>
        </w:rPr>
        <w:tab/>
      </w:r>
      <w:r w:rsidR="00500468" w:rsidRPr="00500468">
        <w:rPr>
          <w:rFonts w:cs="Tahoma"/>
          <w:szCs w:val="20"/>
        </w:rPr>
        <w:t xml:space="preserve">Com a taxa de juros permanecendo em patamar elevado, IPCA abaixo do teto da meta, mas em situação ainda distante da estabilidade almejada pelo governo, e uma situação fiscal de difícil resolução a curto e médio prazos, a tendência é de um cenário semelhante a 2024 em termos de performance do segmento de renda fixa, com as opções de curto prazo prevalecendo frente aos maiores riscos implícitos </w:t>
      </w:r>
      <w:r w:rsidR="00481984">
        <w:rPr>
          <w:rFonts w:cs="Tahoma"/>
          <w:szCs w:val="20"/>
        </w:rPr>
        <w:t>n</w:t>
      </w:r>
      <w:r w:rsidR="00500468" w:rsidRPr="00500468">
        <w:rPr>
          <w:rFonts w:cs="Tahoma"/>
          <w:szCs w:val="20"/>
        </w:rPr>
        <w:t>os títulos de prazos mais alongados.</w:t>
      </w:r>
    </w:p>
    <w:p w14:paraId="68EF8B1E" w14:textId="130F7817" w:rsidR="00500468" w:rsidRPr="00500468" w:rsidRDefault="00DA7372" w:rsidP="00D93366">
      <w:pPr>
        <w:tabs>
          <w:tab w:val="left" w:pos="284"/>
        </w:tabs>
        <w:spacing w:after="120"/>
        <w:jc w:val="both"/>
        <w:rPr>
          <w:rFonts w:cs="Tahoma"/>
          <w:szCs w:val="20"/>
        </w:rPr>
      </w:pPr>
      <w:r>
        <w:rPr>
          <w:rFonts w:cs="Tahoma"/>
          <w:szCs w:val="20"/>
        </w:rPr>
        <w:tab/>
      </w:r>
      <w:r>
        <w:rPr>
          <w:rFonts w:cs="Tahoma"/>
          <w:szCs w:val="20"/>
        </w:rPr>
        <w:tab/>
      </w:r>
      <w:r w:rsidR="00500468" w:rsidRPr="00500468">
        <w:rPr>
          <w:rFonts w:cs="Tahoma"/>
          <w:szCs w:val="20"/>
        </w:rPr>
        <w:t>Assim, diante desse contexto, recomenda-se novamente uma moderada e prudente diversificação do portfólio, contudo, sendo estabelecida relativa preferência por investimentos em ativos de prazos mais curtos, sobretudo no primeiro semestre de 2025, haja vista a maior probabilidade de que as incertezas de longo prazo permaneçam no radar dos investidores.</w:t>
      </w:r>
    </w:p>
    <w:p w14:paraId="67FB06ED" w14:textId="4693CBC8" w:rsidR="00500468" w:rsidRDefault="00DA7372" w:rsidP="00D93366">
      <w:pPr>
        <w:tabs>
          <w:tab w:val="left" w:pos="284"/>
        </w:tabs>
        <w:spacing w:after="120"/>
        <w:jc w:val="both"/>
        <w:rPr>
          <w:rFonts w:cs="Tahoma"/>
          <w:szCs w:val="20"/>
        </w:rPr>
      </w:pPr>
      <w:r>
        <w:rPr>
          <w:rFonts w:cs="Tahoma"/>
          <w:szCs w:val="20"/>
        </w:rPr>
        <w:lastRenderedPageBreak/>
        <w:tab/>
      </w:r>
      <w:r>
        <w:rPr>
          <w:rFonts w:cs="Tahoma"/>
          <w:szCs w:val="20"/>
        </w:rPr>
        <w:tab/>
      </w:r>
      <w:r w:rsidR="00500468" w:rsidRPr="00500468">
        <w:rPr>
          <w:rFonts w:cs="Tahoma"/>
          <w:szCs w:val="20"/>
        </w:rPr>
        <w:t>Por oportuno, ressalta-se que</w:t>
      </w:r>
      <w:r w:rsidR="00481984">
        <w:rPr>
          <w:rFonts w:cs="Tahoma"/>
          <w:szCs w:val="20"/>
        </w:rPr>
        <w:t xml:space="preserve"> a</w:t>
      </w:r>
      <w:r w:rsidR="00500468" w:rsidRPr="00500468">
        <w:rPr>
          <w:rFonts w:cs="Tahoma"/>
          <w:szCs w:val="20"/>
        </w:rPr>
        <w:t xml:space="preserve"> sugerida diversificação confere ao investidor a proteção necessária contra eventuais contingências que venham a interferir na condução das </w:t>
      </w:r>
      <w:proofErr w:type="spellStart"/>
      <w:r w:rsidR="00500468" w:rsidRPr="00500468">
        <w:rPr>
          <w:rFonts w:cs="Tahoma"/>
          <w:szCs w:val="20"/>
        </w:rPr>
        <w:t>pol</w:t>
      </w:r>
      <w:r w:rsidR="00481984">
        <w:rPr>
          <w:rFonts w:cs="Tahoma"/>
          <w:szCs w:val="20"/>
        </w:rPr>
        <w:t>i</w:t>
      </w:r>
      <w:r w:rsidR="00500468" w:rsidRPr="00500468">
        <w:rPr>
          <w:rFonts w:cs="Tahoma"/>
          <w:szCs w:val="20"/>
        </w:rPr>
        <w:t>ticas</w:t>
      </w:r>
      <w:proofErr w:type="spellEnd"/>
      <w:r w:rsidR="00500468" w:rsidRPr="00500468">
        <w:rPr>
          <w:rFonts w:cs="Tahoma"/>
          <w:szCs w:val="20"/>
        </w:rPr>
        <w:t xml:space="preserve"> monetária, cambial e, especialmente, fiscal.</w:t>
      </w:r>
    </w:p>
    <w:p w14:paraId="733AD446" w14:textId="77777777" w:rsidR="002B3FE6" w:rsidRDefault="002B3FE6" w:rsidP="002B3FE6">
      <w:pPr>
        <w:pStyle w:val="Ttulo2"/>
        <w:spacing w:before="240"/>
        <w:rPr>
          <w:b/>
          <w:bCs/>
          <w:color w:val="auto"/>
          <w:sz w:val="24"/>
          <w:szCs w:val="24"/>
        </w:rPr>
      </w:pPr>
      <w:bookmarkStart w:id="22" w:name="_Toc436040842"/>
      <w:bookmarkStart w:id="23" w:name="_Toc149913364"/>
      <w:bookmarkStart w:id="24" w:name="_Toc181542571"/>
      <w:r w:rsidRPr="002B3FE6">
        <w:rPr>
          <w:b/>
          <w:bCs/>
          <w:color w:val="auto"/>
          <w:sz w:val="24"/>
          <w:szCs w:val="24"/>
        </w:rPr>
        <w:t>Renda Variável</w:t>
      </w:r>
      <w:bookmarkEnd w:id="22"/>
      <w:bookmarkEnd w:id="23"/>
      <w:bookmarkEnd w:id="24"/>
    </w:p>
    <w:p w14:paraId="32EE7319" w14:textId="77777777" w:rsidR="002B3FE6" w:rsidRPr="002B3FE6" w:rsidRDefault="002B3FE6" w:rsidP="002B3FE6">
      <w:pPr>
        <w:tabs>
          <w:tab w:val="left" w:pos="284"/>
        </w:tabs>
        <w:spacing w:before="240" w:after="120"/>
        <w:rPr>
          <w:rFonts w:ascii="Tahoma" w:hAnsi="Tahoma" w:cs="Tahoma"/>
          <w:b/>
          <w:sz w:val="20"/>
          <w:szCs w:val="20"/>
        </w:rPr>
      </w:pPr>
      <w:bookmarkStart w:id="25" w:name="_Toc149913365"/>
      <w:r w:rsidRPr="002B3FE6">
        <w:rPr>
          <w:rFonts w:ascii="Tahoma" w:hAnsi="Tahoma" w:cs="Tahoma"/>
          <w:b/>
          <w:sz w:val="20"/>
          <w:szCs w:val="20"/>
        </w:rPr>
        <w:t>Breve Histórico 2020-2022</w:t>
      </w:r>
      <w:bookmarkEnd w:id="25"/>
    </w:p>
    <w:p w14:paraId="00C24EB1" w14:textId="77777777" w:rsidR="002B3FE6" w:rsidRPr="00F5561E" w:rsidRDefault="002B3FE6" w:rsidP="00D93366">
      <w:pPr>
        <w:spacing w:after="120"/>
        <w:ind w:firstLine="709"/>
        <w:jc w:val="both"/>
        <w:rPr>
          <w:rFonts w:cs="Tahoma"/>
          <w:szCs w:val="20"/>
        </w:rPr>
      </w:pPr>
      <w:r w:rsidRPr="00F5561E">
        <w:rPr>
          <w:rFonts w:cs="Tahoma"/>
          <w:szCs w:val="20"/>
        </w:rPr>
        <w:t xml:space="preserve">Por sua vez, 2020 foi o ano em que as incertezas advindas da pandemia do Covid-19 trouxeram grande volatilidade ao segmento.  Devido ao tombo ocorrido em março, quando o Ibovespa fechou no negativo em -30,09%, o principal indicador da bolsa brasileira ficou no vermelho até o encerramento de outubro, com o resultado somente sendo revertido graças ao bom desempenho ocorrido nos últimos dois meses do ano, fechando 2020 com </w:t>
      </w:r>
      <w:proofErr w:type="gramStart"/>
      <w:r w:rsidRPr="00F5561E">
        <w:rPr>
          <w:rFonts w:cs="Tahoma"/>
          <w:szCs w:val="20"/>
        </w:rPr>
        <w:t>um pequena alta</w:t>
      </w:r>
      <w:proofErr w:type="gramEnd"/>
      <w:r w:rsidRPr="00F5561E">
        <w:rPr>
          <w:rFonts w:cs="Tahoma"/>
          <w:szCs w:val="20"/>
        </w:rPr>
        <w:t xml:space="preserve"> de 2,92%.</w:t>
      </w:r>
    </w:p>
    <w:p w14:paraId="39519027" w14:textId="77777777" w:rsidR="002B3FE6" w:rsidRPr="00F5561E" w:rsidRDefault="002B3FE6" w:rsidP="00D93366">
      <w:pPr>
        <w:spacing w:after="120"/>
        <w:ind w:firstLine="709"/>
        <w:jc w:val="both"/>
        <w:rPr>
          <w:rFonts w:cs="Tahoma"/>
          <w:szCs w:val="20"/>
        </w:rPr>
      </w:pPr>
      <w:r w:rsidRPr="00F5561E">
        <w:rPr>
          <w:rFonts w:cs="Tahoma"/>
          <w:szCs w:val="20"/>
        </w:rPr>
        <w:t>Já em 2021, a renda variável novamente apresentou volatilidade, com o índice Ibovespa performando no vermelho em 07 dos 12 meses do ano, encerrando o exercício com um significativo prejuízo acumulado de</w:t>
      </w:r>
      <w:r>
        <w:rPr>
          <w:rFonts w:cs="Tahoma"/>
          <w:szCs w:val="20"/>
        </w:rPr>
        <w:t xml:space="preserve"> </w:t>
      </w:r>
      <w:r w:rsidRPr="00F5561E">
        <w:rPr>
          <w:rFonts w:cs="Tahoma"/>
          <w:szCs w:val="20"/>
        </w:rPr>
        <w:t xml:space="preserve">-11,99%. No geral, o comportamento do setor foi pautado por preocupações acerca da situação fiscal do país, da evolução da pandemia e da alta dos juros e da inflação, além de incertezas oriundas do cenário político doméstico. </w:t>
      </w:r>
    </w:p>
    <w:p w14:paraId="0913F653" w14:textId="77777777" w:rsidR="002B3FE6" w:rsidRPr="00F5561E" w:rsidRDefault="002B3FE6" w:rsidP="00D93366">
      <w:pPr>
        <w:spacing w:after="120"/>
        <w:ind w:firstLine="709"/>
        <w:jc w:val="both"/>
        <w:rPr>
          <w:rFonts w:cs="Tahoma"/>
          <w:szCs w:val="20"/>
        </w:rPr>
      </w:pPr>
      <w:r w:rsidRPr="00F5561E">
        <w:rPr>
          <w:rFonts w:cs="Tahoma"/>
          <w:szCs w:val="20"/>
        </w:rPr>
        <w:t xml:space="preserve">Repetindo os dois anos anteriores, 2022 também foi caracterizado pela volatilidade do segmento variável, que alternou perdas e ganhos mensais ao longo de todo exercício. Em meio a um cenário de austeridade fiscal, com as ações brasileiras precificadas próximas do piso e um dólar valorizado frente </w:t>
      </w:r>
      <w:proofErr w:type="spellStart"/>
      <w:r w:rsidRPr="00F5561E">
        <w:rPr>
          <w:rFonts w:cs="Tahoma"/>
          <w:szCs w:val="20"/>
        </w:rPr>
        <w:t>a</w:t>
      </w:r>
      <w:proofErr w:type="spellEnd"/>
      <w:r w:rsidRPr="00F5561E">
        <w:rPr>
          <w:rFonts w:cs="Tahoma"/>
          <w:szCs w:val="20"/>
        </w:rPr>
        <w:t xml:space="preserve"> moeda doméstica, o investidor optou pela Bovespa, especialmente nos papéis vinculados às commodities, razão pela</w:t>
      </w:r>
      <w:r>
        <w:rPr>
          <w:rFonts w:cs="Tahoma"/>
          <w:szCs w:val="20"/>
        </w:rPr>
        <w:t xml:space="preserve"> qual</w:t>
      </w:r>
      <w:r w:rsidRPr="00F5561E">
        <w:rPr>
          <w:rFonts w:cs="Tahoma"/>
          <w:szCs w:val="20"/>
        </w:rPr>
        <w:t xml:space="preserve"> o ingresso líquido de capital externo foi percebido em quase todos os meses do ano. </w:t>
      </w:r>
    </w:p>
    <w:p w14:paraId="5DDD7809" w14:textId="26DAA287" w:rsidR="002B3FE6" w:rsidRPr="00F5561E" w:rsidRDefault="002B3FE6" w:rsidP="00D93366">
      <w:pPr>
        <w:spacing w:after="120"/>
        <w:ind w:firstLine="709"/>
        <w:jc w:val="both"/>
        <w:rPr>
          <w:rFonts w:cs="Tahoma"/>
          <w:szCs w:val="20"/>
        </w:rPr>
      </w:pPr>
      <w:r w:rsidRPr="00F5561E">
        <w:rPr>
          <w:rFonts w:cs="Tahoma"/>
          <w:szCs w:val="20"/>
        </w:rPr>
        <w:t xml:space="preserve">A crise geopolítica do </w:t>
      </w:r>
      <w:r w:rsidR="00481984">
        <w:rPr>
          <w:rFonts w:cs="Tahoma"/>
          <w:szCs w:val="20"/>
        </w:rPr>
        <w:t>L</w:t>
      </w:r>
      <w:r w:rsidRPr="00F5561E">
        <w:rPr>
          <w:rFonts w:cs="Tahoma"/>
          <w:szCs w:val="20"/>
        </w:rPr>
        <w:t xml:space="preserve">este </w:t>
      </w:r>
      <w:r w:rsidR="00481984">
        <w:rPr>
          <w:rFonts w:cs="Tahoma"/>
          <w:szCs w:val="20"/>
        </w:rPr>
        <w:t>E</w:t>
      </w:r>
      <w:r w:rsidRPr="00F5561E">
        <w:rPr>
          <w:rFonts w:cs="Tahoma"/>
          <w:szCs w:val="20"/>
        </w:rPr>
        <w:t>uropeu também favoreceu o investimento na bolsa do país, uma vez que o capital estrangeiro passou a buscar nas economias emergentes opções mais rentáveis e seguras do que aquelas percebidas no mercado europeu, cuja iminente possibilidade de recessão diminuiu o apetite do investidor externo.</w:t>
      </w:r>
    </w:p>
    <w:p w14:paraId="1452DFB8" w14:textId="77777777" w:rsidR="002B3FE6" w:rsidRPr="00F5561E" w:rsidRDefault="002B3FE6" w:rsidP="00D93366">
      <w:pPr>
        <w:spacing w:after="120"/>
        <w:ind w:firstLine="709"/>
        <w:jc w:val="both"/>
        <w:rPr>
          <w:rFonts w:cs="Tahoma"/>
          <w:szCs w:val="20"/>
        </w:rPr>
      </w:pPr>
      <w:r w:rsidRPr="00F5561E">
        <w:rPr>
          <w:rFonts w:cs="Tahoma"/>
          <w:szCs w:val="20"/>
        </w:rPr>
        <w:t xml:space="preserve">Por outro lado, a expectativa quanto aos juros </w:t>
      </w:r>
      <w:proofErr w:type="spellStart"/>
      <w:r w:rsidRPr="00F5561E">
        <w:rPr>
          <w:rFonts w:cs="Tahoma"/>
          <w:szCs w:val="20"/>
        </w:rPr>
        <w:t>norte americanos</w:t>
      </w:r>
      <w:proofErr w:type="spellEnd"/>
      <w:r w:rsidRPr="00F5561E">
        <w:rPr>
          <w:rFonts w:cs="Tahoma"/>
          <w:szCs w:val="20"/>
        </w:rPr>
        <w:t xml:space="preserve"> e, principalmente, as incertezas acerca da pol</w:t>
      </w:r>
      <w:r>
        <w:rPr>
          <w:rFonts w:cs="Tahoma"/>
          <w:szCs w:val="20"/>
        </w:rPr>
        <w:t>í</w:t>
      </w:r>
      <w:r w:rsidRPr="00F5561E">
        <w:rPr>
          <w:rFonts w:cs="Tahoma"/>
          <w:szCs w:val="20"/>
        </w:rPr>
        <w:t>tica fiscal a ser implementada pelo novo governo eleito, trouxeram instabilidade à bolsa brasileira. Sobre a importância das questões fiscais, registra-se que até o mês de outubro, período da eleição presidencial, o Índice Ibovespa registrou um retorno acumulado no ano de 10,69%. Todavia, os meses de novembro e dezembro foram marcados por sucessivos prejuízos, com indicador devolvendo parte dos ganhos e encerrando o exercício com uma pequena variação positiva de 4,68%.</w:t>
      </w:r>
    </w:p>
    <w:p w14:paraId="4A5D3F47" w14:textId="12D76B29" w:rsidR="002B3FE6" w:rsidRPr="00F5561E" w:rsidRDefault="00500468" w:rsidP="00500468">
      <w:pPr>
        <w:spacing w:after="120"/>
        <w:jc w:val="center"/>
        <w:rPr>
          <w:rFonts w:cs="Tahoma"/>
          <w:szCs w:val="20"/>
        </w:rPr>
      </w:pPr>
      <w:r w:rsidRPr="002150E6">
        <w:rPr>
          <w:noProof/>
        </w:rPr>
        <w:lastRenderedPageBreak/>
        <w:drawing>
          <wp:inline distT="0" distB="0" distL="0" distR="0" wp14:anchorId="6D36B1D3" wp14:editId="6650D2C0">
            <wp:extent cx="4433906" cy="2478211"/>
            <wp:effectExtent l="0" t="0" r="24130" b="17780"/>
            <wp:docPr id="936537252" name="Gráfico 936537252"/>
            <wp:cNvGraphicFramePr/>
            <a:graphic xmlns:a="http://schemas.openxmlformats.org/drawingml/2006/main">
              <a:graphicData uri="http://schemas.openxmlformats.org/drawingml/2006/chart">
                <c:chart xmlns:c="http://schemas.openxmlformats.org/drawingml/2006/chart" xmlns:r="http://schemas.openxmlformats.org/officeDocument/2006/relationships" r:id="rId60"/>
              </a:graphicData>
            </a:graphic>
          </wp:inline>
        </w:drawing>
      </w:r>
    </w:p>
    <w:p w14:paraId="765171CA" w14:textId="28786525" w:rsidR="002B3FE6" w:rsidRPr="0054000D" w:rsidRDefault="002B3FE6" w:rsidP="00DA7372">
      <w:pPr>
        <w:spacing w:after="0" w:line="240" w:lineRule="auto"/>
        <w:ind w:left="993"/>
        <w:jc w:val="both"/>
        <w:rPr>
          <w:rFonts w:ascii="Tahoma" w:hAnsi="Tahoma" w:cs="Tahoma"/>
          <w:b/>
          <w:bCs/>
          <w:sz w:val="14"/>
          <w:szCs w:val="14"/>
        </w:rPr>
      </w:pPr>
      <w:r w:rsidRPr="0054000D">
        <w:rPr>
          <w:rFonts w:ascii="Tahoma" w:hAnsi="Tahoma" w:cs="Tahoma"/>
          <w:b/>
          <w:bCs/>
          <w:sz w:val="14"/>
          <w:szCs w:val="14"/>
        </w:rPr>
        <w:t>Gráfico  10 – Rentabilidade IBOVESPA (%) – 2017/202</w:t>
      </w:r>
      <w:r w:rsidR="00500468" w:rsidRPr="0054000D">
        <w:rPr>
          <w:rFonts w:ascii="Tahoma" w:hAnsi="Tahoma" w:cs="Tahoma"/>
          <w:b/>
          <w:bCs/>
          <w:sz w:val="14"/>
          <w:szCs w:val="14"/>
        </w:rPr>
        <w:t>3</w:t>
      </w:r>
    </w:p>
    <w:p w14:paraId="2D873AE9" w14:textId="77777777" w:rsidR="002B3FE6" w:rsidRPr="0054000D" w:rsidRDefault="002B3FE6" w:rsidP="00DA7372">
      <w:pPr>
        <w:spacing w:after="0" w:line="240" w:lineRule="auto"/>
        <w:ind w:left="993"/>
        <w:rPr>
          <w:rFonts w:ascii="Tahoma" w:hAnsi="Tahoma" w:cs="Tahoma"/>
          <w:sz w:val="12"/>
          <w:szCs w:val="14"/>
        </w:rPr>
      </w:pPr>
      <w:r w:rsidRPr="0054000D">
        <w:rPr>
          <w:rFonts w:ascii="Tahoma" w:hAnsi="Tahoma" w:cs="Tahoma"/>
          <w:sz w:val="12"/>
          <w:szCs w:val="14"/>
        </w:rPr>
        <w:t>Fonte: BM&amp;FBOVESPA.</w:t>
      </w:r>
    </w:p>
    <w:p w14:paraId="19A5DF9E" w14:textId="77777777" w:rsidR="002B3FE6" w:rsidRDefault="002B3FE6" w:rsidP="002B3FE6">
      <w:pPr>
        <w:tabs>
          <w:tab w:val="left" w:pos="284"/>
        </w:tabs>
        <w:spacing w:after="120"/>
        <w:rPr>
          <w:rFonts w:ascii="Tahoma" w:hAnsi="Tahoma" w:cs="Tahoma"/>
          <w:b/>
          <w:sz w:val="20"/>
          <w:szCs w:val="20"/>
          <w:highlight w:val="cyan"/>
        </w:rPr>
      </w:pPr>
    </w:p>
    <w:p w14:paraId="59A62EC3" w14:textId="0CEC4762" w:rsidR="00500468" w:rsidRPr="00500468" w:rsidRDefault="00DA7372" w:rsidP="00D93366">
      <w:pPr>
        <w:tabs>
          <w:tab w:val="left" w:pos="284"/>
        </w:tabs>
        <w:spacing w:after="120"/>
        <w:jc w:val="both"/>
        <w:rPr>
          <w:rFonts w:cs="Tahoma"/>
          <w:szCs w:val="20"/>
        </w:rPr>
      </w:pPr>
      <w:r>
        <w:rPr>
          <w:rFonts w:cs="Tahoma"/>
          <w:szCs w:val="20"/>
        </w:rPr>
        <w:tab/>
      </w:r>
      <w:r>
        <w:rPr>
          <w:rFonts w:cs="Tahoma"/>
          <w:szCs w:val="20"/>
        </w:rPr>
        <w:tab/>
      </w:r>
      <w:r w:rsidR="00500468" w:rsidRPr="00500468">
        <w:rPr>
          <w:rFonts w:cs="Tahoma"/>
          <w:szCs w:val="20"/>
        </w:rPr>
        <w:t xml:space="preserve">Já em 2023, o comportamento da renda variável foi impactado direta e principalmente pela expectativa acerca da condução dos juros </w:t>
      </w:r>
      <w:proofErr w:type="spellStart"/>
      <w:r w:rsidR="00500468" w:rsidRPr="00500468">
        <w:rPr>
          <w:rFonts w:cs="Tahoma"/>
          <w:szCs w:val="20"/>
        </w:rPr>
        <w:t>norte americanos</w:t>
      </w:r>
      <w:proofErr w:type="spellEnd"/>
      <w:r w:rsidR="00500468" w:rsidRPr="00500468">
        <w:rPr>
          <w:rFonts w:cs="Tahoma"/>
          <w:szCs w:val="20"/>
        </w:rPr>
        <w:t>, implicando relativa volatilidade no setor ao longo do ano. A título de exemplo, cita-se que em novembro, mês que consolidou a expectativa acerca do in</w:t>
      </w:r>
      <w:r w:rsidR="00481984">
        <w:rPr>
          <w:rFonts w:cs="Tahoma"/>
          <w:szCs w:val="20"/>
        </w:rPr>
        <w:t>í</w:t>
      </w:r>
      <w:r w:rsidR="00500468" w:rsidRPr="00500468">
        <w:rPr>
          <w:rFonts w:cs="Tahoma"/>
          <w:szCs w:val="20"/>
        </w:rPr>
        <w:t xml:space="preserve">cio do ciclo de queda dos juros nos EUA, o Ibovespa registrou seu maior ganho mensal nos últimos 03 (três) anos, variando positivamente 16,04% e exercendo papel decisivo no ganho anual de 22,28% obtido ano </w:t>
      </w:r>
      <w:r w:rsidR="00481984">
        <w:rPr>
          <w:rFonts w:cs="Tahoma"/>
          <w:szCs w:val="20"/>
        </w:rPr>
        <w:t>anterior</w:t>
      </w:r>
      <w:r w:rsidR="00500468" w:rsidRPr="00500468">
        <w:rPr>
          <w:rFonts w:cs="Tahoma"/>
          <w:szCs w:val="20"/>
        </w:rPr>
        <w:t>.</w:t>
      </w:r>
    </w:p>
    <w:p w14:paraId="0C363EBE" w14:textId="77777777" w:rsidR="002B3FE6" w:rsidRPr="000C021C" w:rsidRDefault="002B3FE6" w:rsidP="000C021C">
      <w:pPr>
        <w:pStyle w:val="Ttulo2"/>
        <w:rPr>
          <w:rFonts w:ascii="Tahoma" w:hAnsi="Tahoma" w:cs="Tahoma"/>
          <w:b/>
          <w:color w:val="auto"/>
          <w:sz w:val="20"/>
          <w:szCs w:val="20"/>
        </w:rPr>
      </w:pPr>
      <w:bookmarkStart w:id="26" w:name="_Toc181542572"/>
      <w:r w:rsidRPr="000C021C">
        <w:rPr>
          <w:rFonts w:ascii="Tahoma" w:hAnsi="Tahoma" w:cs="Tahoma"/>
          <w:b/>
          <w:color w:val="auto"/>
          <w:sz w:val="20"/>
          <w:szCs w:val="20"/>
        </w:rPr>
        <w:t>Análise 2024 e Perspectivas para 2025</w:t>
      </w:r>
      <w:bookmarkEnd w:id="26"/>
    </w:p>
    <w:p w14:paraId="4048B387" w14:textId="0C0B0E7F" w:rsidR="00500468" w:rsidRPr="00500468" w:rsidRDefault="00DA7372" w:rsidP="00D93366">
      <w:pPr>
        <w:tabs>
          <w:tab w:val="left" w:pos="284"/>
        </w:tabs>
        <w:spacing w:after="120"/>
        <w:jc w:val="both"/>
        <w:rPr>
          <w:rFonts w:cs="Tahoma"/>
          <w:szCs w:val="20"/>
        </w:rPr>
      </w:pPr>
      <w:r>
        <w:rPr>
          <w:rFonts w:cs="Tahoma"/>
          <w:szCs w:val="20"/>
        </w:rPr>
        <w:tab/>
      </w:r>
      <w:r>
        <w:rPr>
          <w:rFonts w:cs="Tahoma"/>
          <w:szCs w:val="20"/>
        </w:rPr>
        <w:tab/>
      </w:r>
      <w:r w:rsidR="00500468" w:rsidRPr="00500468">
        <w:rPr>
          <w:rFonts w:cs="Tahoma"/>
          <w:szCs w:val="20"/>
        </w:rPr>
        <w:t>De maneira análoga ao segmento de renda fixa, o comportamento da Bovespa em 2024 foi ditado principalmente em função da situação fiscal do país, fazendo com as variáveis domésticas se sobrepusessem às questões externas no que diz respeito à opção pelo segmento variável.</w:t>
      </w:r>
    </w:p>
    <w:p w14:paraId="401C1F7B" w14:textId="1239573C" w:rsidR="00500468" w:rsidRPr="00500468" w:rsidRDefault="00DA7372" w:rsidP="00D93366">
      <w:pPr>
        <w:tabs>
          <w:tab w:val="left" w:pos="284"/>
        </w:tabs>
        <w:spacing w:after="120"/>
        <w:jc w:val="both"/>
        <w:rPr>
          <w:rFonts w:cs="Tahoma"/>
          <w:szCs w:val="20"/>
        </w:rPr>
      </w:pPr>
      <w:r>
        <w:rPr>
          <w:rFonts w:cs="Tahoma"/>
          <w:szCs w:val="20"/>
        </w:rPr>
        <w:tab/>
      </w:r>
      <w:r>
        <w:rPr>
          <w:rFonts w:cs="Tahoma"/>
          <w:szCs w:val="20"/>
        </w:rPr>
        <w:tab/>
      </w:r>
      <w:r w:rsidR="00500468" w:rsidRPr="00500468">
        <w:rPr>
          <w:rFonts w:cs="Tahoma"/>
          <w:szCs w:val="20"/>
        </w:rPr>
        <w:t>Em linha com a significativa e cont</w:t>
      </w:r>
      <w:r w:rsidR="00481984">
        <w:rPr>
          <w:rFonts w:cs="Tahoma"/>
          <w:szCs w:val="20"/>
        </w:rPr>
        <w:t>í</w:t>
      </w:r>
      <w:r w:rsidR="00500468" w:rsidRPr="00500468">
        <w:rPr>
          <w:rFonts w:cs="Tahoma"/>
          <w:szCs w:val="20"/>
        </w:rPr>
        <w:t>nua desvalorização cambial ocorrida no período, o índice Ibovespa fechou no vermelho em 06 (seis) oportunidades no período compreendido entre os meses de janeiro a outubro de 2024, acumulando um prejuízo parcial no ano de -3,34%.</w:t>
      </w:r>
    </w:p>
    <w:p w14:paraId="11F07892" w14:textId="3A88702F" w:rsidR="00500468" w:rsidRPr="00500468" w:rsidRDefault="00DA7372" w:rsidP="00D93366">
      <w:pPr>
        <w:tabs>
          <w:tab w:val="left" w:pos="284"/>
        </w:tabs>
        <w:spacing w:after="120"/>
        <w:jc w:val="both"/>
        <w:rPr>
          <w:rFonts w:cs="Tahoma"/>
          <w:szCs w:val="20"/>
        </w:rPr>
      </w:pPr>
      <w:r>
        <w:rPr>
          <w:rFonts w:cs="Tahoma"/>
          <w:szCs w:val="20"/>
        </w:rPr>
        <w:tab/>
      </w:r>
      <w:r>
        <w:rPr>
          <w:rFonts w:cs="Tahoma"/>
          <w:szCs w:val="20"/>
        </w:rPr>
        <w:tab/>
      </w:r>
      <w:r w:rsidR="00500468" w:rsidRPr="00500468">
        <w:rPr>
          <w:rFonts w:cs="Tahoma"/>
          <w:szCs w:val="20"/>
        </w:rPr>
        <w:t xml:space="preserve">Segundo o ranking recentemente organizado pela consultoria Elos </w:t>
      </w:r>
      <w:proofErr w:type="spellStart"/>
      <w:r w:rsidR="00500468" w:rsidRPr="00500468">
        <w:rPr>
          <w:rFonts w:cs="Tahoma"/>
          <w:szCs w:val="20"/>
        </w:rPr>
        <w:t>Ayta</w:t>
      </w:r>
      <w:proofErr w:type="spellEnd"/>
      <w:r w:rsidR="00500468" w:rsidRPr="00500468">
        <w:rPr>
          <w:rFonts w:cs="Tahoma"/>
          <w:szCs w:val="20"/>
        </w:rPr>
        <w:t>, a bolsa brasileira registra o penúltimo pior desempenho dentre as principais bolsas mundiais no acumulado do ano, apresentando, em dólar, uma rentabilidade negativa de 19% no período, resultado superior apenas a bolsa mexicana que amargou um prejuízo de 25,46%.</w:t>
      </w:r>
    </w:p>
    <w:p w14:paraId="514E2612" w14:textId="1F448901" w:rsidR="00500468" w:rsidRPr="00500468" w:rsidRDefault="00DA7372" w:rsidP="00D93366">
      <w:pPr>
        <w:tabs>
          <w:tab w:val="left" w:pos="284"/>
        </w:tabs>
        <w:spacing w:after="120"/>
        <w:jc w:val="both"/>
        <w:rPr>
          <w:rFonts w:cs="Tahoma"/>
          <w:szCs w:val="20"/>
        </w:rPr>
      </w:pPr>
      <w:r>
        <w:rPr>
          <w:rFonts w:cs="Tahoma"/>
          <w:szCs w:val="20"/>
        </w:rPr>
        <w:tab/>
      </w:r>
      <w:r>
        <w:rPr>
          <w:rFonts w:cs="Tahoma"/>
          <w:szCs w:val="20"/>
        </w:rPr>
        <w:tab/>
      </w:r>
      <w:r w:rsidR="00500468" w:rsidRPr="00500468">
        <w:rPr>
          <w:rFonts w:cs="Tahoma"/>
          <w:szCs w:val="20"/>
        </w:rPr>
        <w:t>Conforme já referido, a situação fiscal do país prejudica a ancoragem inflacionária, exercendo pressão sobre o IPCA, que por sua vez aumenta a dificuldade de se reduzir os juros do país. Não obstante, uma Selic elevada inibe o interesse por investimentos na bolsa, tornando mais atrativas opções de renda fixa, em especial aquelas atreladas a oferta de títulos públicos.</w:t>
      </w:r>
    </w:p>
    <w:p w14:paraId="3E1760BF" w14:textId="226ED413" w:rsidR="00500468" w:rsidRPr="00500468" w:rsidRDefault="00DA7372" w:rsidP="00D93366">
      <w:pPr>
        <w:tabs>
          <w:tab w:val="left" w:pos="284"/>
        </w:tabs>
        <w:spacing w:after="120"/>
        <w:jc w:val="both"/>
        <w:rPr>
          <w:rFonts w:cs="Tahoma"/>
          <w:szCs w:val="20"/>
        </w:rPr>
      </w:pPr>
      <w:r>
        <w:rPr>
          <w:rFonts w:cs="Tahoma"/>
          <w:szCs w:val="20"/>
        </w:rPr>
        <w:tab/>
      </w:r>
      <w:r>
        <w:rPr>
          <w:rFonts w:cs="Tahoma"/>
          <w:szCs w:val="20"/>
        </w:rPr>
        <w:tab/>
      </w:r>
      <w:r w:rsidR="00500468" w:rsidRPr="00500468">
        <w:rPr>
          <w:rFonts w:cs="Tahoma"/>
          <w:szCs w:val="20"/>
        </w:rPr>
        <w:t>Somada à incerteza fiscal, alguns fatores externos também tem fomentado a prefer</w:t>
      </w:r>
      <w:r w:rsidR="00481984">
        <w:rPr>
          <w:rFonts w:cs="Tahoma"/>
          <w:szCs w:val="20"/>
        </w:rPr>
        <w:t>ê</w:t>
      </w:r>
      <w:r w:rsidR="00500468" w:rsidRPr="00500468">
        <w:rPr>
          <w:rFonts w:cs="Tahoma"/>
          <w:szCs w:val="20"/>
        </w:rPr>
        <w:t xml:space="preserve">ncia dos investidores estrangeiros por aportarem recursos em economias com menor grau de risco. Citam-se como exemplos mais recentes a incerteza nas eleições norte americanas, a lenta recuperação da economia chinesa e o agravamento das tensões geopolíticas, em especial no </w:t>
      </w:r>
      <w:r w:rsidR="007E1043">
        <w:rPr>
          <w:rFonts w:cs="Tahoma"/>
          <w:szCs w:val="20"/>
        </w:rPr>
        <w:t>L</w:t>
      </w:r>
      <w:r w:rsidR="00500468" w:rsidRPr="00500468">
        <w:rPr>
          <w:rFonts w:cs="Tahoma"/>
          <w:szCs w:val="20"/>
        </w:rPr>
        <w:t xml:space="preserve">este </w:t>
      </w:r>
      <w:r w:rsidR="007E1043">
        <w:rPr>
          <w:rFonts w:cs="Tahoma"/>
          <w:szCs w:val="20"/>
        </w:rPr>
        <w:t>E</w:t>
      </w:r>
      <w:r w:rsidR="00500468" w:rsidRPr="00500468">
        <w:rPr>
          <w:rFonts w:cs="Tahoma"/>
          <w:szCs w:val="20"/>
        </w:rPr>
        <w:t>uropeu (Rússia x Ucrânia) e no Oriente Médio.</w:t>
      </w:r>
    </w:p>
    <w:p w14:paraId="549A365F" w14:textId="48F7498B" w:rsidR="00500468" w:rsidRDefault="00DA7372" w:rsidP="00D93366">
      <w:pPr>
        <w:tabs>
          <w:tab w:val="left" w:pos="284"/>
        </w:tabs>
        <w:spacing w:after="120"/>
        <w:jc w:val="both"/>
        <w:rPr>
          <w:rFonts w:cs="Tahoma"/>
          <w:szCs w:val="20"/>
        </w:rPr>
      </w:pPr>
      <w:r>
        <w:rPr>
          <w:rFonts w:cs="Tahoma"/>
          <w:szCs w:val="20"/>
        </w:rPr>
        <w:lastRenderedPageBreak/>
        <w:tab/>
      </w:r>
      <w:r>
        <w:rPr>
          <w:rFonts w:cs="Tahoma"/>
          <w:szCs w:val="20"/>
        </w:rPr>
        <w:tab/>
      </w:r>
      <w:r w:rsidR="00500468" w:rsidRPr="00500468">
        <w:rPr>
          <w:rFonts w:cs="Tahoma"/>
          <w:szCs w:val="20"/>
        </w:rPr>
        <w:t>Repisa-se que até o mês de outubro, os investidores estrangeiros promoveram uma retirada líquida de recursos da Bovespa superior a R$ 30 bilhões, consistindo na maior evasão de recursos da bolsa brasileira desde 2020, ano marcado pelo in</w:t>
      </w:r>
      <w:r w:rsidR="007E1043">
        <w:rPr>
          <w:rFonts w:cs="Tahoma"/>
          <w:szCs w:val="20"/>
        </w:rPr>
        <w:t>í</w:t>
      </w:r>
      <w:r w:rsidR="00500468" w:rsidRPr="00500468">
        <w:rPr>
          <w:rFonts w:cs="Tahoma"/>
          <w:szCs w:val="20"/>
        </w:rPr>
        <w:t>cio da pandemia do novo coronavírus.</w:t>
      </w:r>
    </w:p>
    <w:p w14:paraId="41C870AA" w14:textId="577A5810" w:rsidR="00500468" w:rsidRDefault="00500468" w:rsidP="00500468">
      <w:pPr>
        <w:tabs>
          <w:tab w:val="left" w:pos="284"/>
        </w:tabs>
        <w:spacing w:after="120"/>
        <w:jc w:val="center"/>
        <w:rPr>
          <w:rFonts w:cs="Tahoma"/>
          <w:szCs w:val="20"/>
        </w:rPr>
      </w:pPr>
      <w:r w:rsidRPr="002150E6">
        <w:rPr>
          <w:noProof/>
        </w:rPr>
        <w:drawing>
          <wp:inline distT="0" distB="0" distL="0" distR="0" wp14:anchorId="0B9130FD" wp14:editId="5C10FED9">
            <wp:extent cx="4679950" cy="3216340"/>
            <wp:effectExtent l="0" t="0" r="25400" b="22225"/>
            <wp:docPr id="1109558581" name="Gráfico 1109558581"/>
            <wp:cNvGraphicFramePr/>
            <a:graphic xmlns:a="http://schemas.openxmlformats.org/drawingml/2006/main">
              <a:graphicData uri="http://schemas.openxmlformats.org/drawingml/2006/chart">
                <c:chart xmlns:c="http://schemas.openxmlformats.org/drawingml/2006/chart" xmlns:r="http://schemas.openxmlformats.org/officeDocument/2006/relationships" r:id="rId61"/>
              </a:graphicData>
            </a:graphic>
          </wp:inline>
        </w:drawing>
      </w:r>
    </w:p>
    <w:p w14:paraId="135689D7" w14:textId="77777777" w:rsidR="00500468" w:rsidRPr="0054000D" w:rsidRDefault="00500468" w:rsidP="00500468">
      <w:pPr>
        <w:spacing w:after="0" w:line="240" w:lineRule="auto"/>
        <w:ind w:left="851"/>
        <w:jc w:val="both"/>
        <w:rPr>
          <w:rFonts w:ascii="Tahoma" w:hAnsi="Tahoma" w:cs="Tahoma"/>
          <w:b/>
          <w:bCs/>
          <w:sz w:val="14"/>
          <w:szCs w:val="14"/>
        </w:rPr>
      </w:pPr>
      <w:r w:rsidRPr="0054000D">
        <w:rPr>
          <w:rFonts w:ascii="Tahoma" w:hAnsi="Tahoma" w:cs="Tahoma"/>
          <w:b/>
          <w:bCs/>
          <w:sz w:val="14"/>
          <w:szCs w:val="14"/>
        </w:rPr>
        <w:t>Gráfico 11 – Rentabilidade acumulada: IBrX e IBOVESPA (%)</w:t>
      </w:r>
    </w:p>
    <w:p w14:paraId="79F2C21C" w14:textId="77777777" w:rsidR="00500468" w:rsidRPr="0054000D" w:rsidRDefault="00500468" w:rsidP="00500468">
      <w:pPr>
        <w:spacing w:after="0" w:line="240" w:lineRule="auto"/>
        <w:ind w:left="851"/>
        <w:jc w:val="both"/>
        <w:rPr>
          <w:rFonts w:ascii="Tahoma" w:hAnsi="Tahoma" w:cs="Tahoma"/>
          <w:sz w:val="12"/>
          <w:szCs w:val="14"/>
        </w:rPr>
      </w:pPr>
      <w:r w:rsidRPr="0054000D">
        <w:rPr>
          <w:rFonts w:ascii="Tahoma" w:hAnsi="Tahoma" w:cs="Tahoma"/>
          <w:sz w:val="12"/>
          <w:szCs w:val="14"/>
        </w:rPr>
        <w:t>Fonte: BM&amp;FBOVESPA.</w:t>
      </w:r>
    </w:p>
    <w:p w14:paraId="710DB789" w14:textId="77777777" w:rsidR="00500468" w:rsidRPr="0054000D" w:rsidRDefault="00500468" w:rsidP="00500468">
      <w:pPr>
        <w:spacing w:after="0" w:line="240" w:lineRule="auto"/>
        <w:ind w:left="851"/>
        <w:rPr>
          <w:rFonts w:ascii="Tahoma" w:hAnsi="Tahoma" w:cs="Tahoma"/>
          <w:sz w:val="12"/>
          <w:szCs w:val="14"/>
        </w:rPr>
      </w:pPr>
      <w:r w:rsidRPr="0054000D">
        <w:rPr>
          <w:rFonts w:ascii="Tahoma" w:hAnsi="Tahoma" w:cs="Tahoma"/>
          <w:sz w:val="12"/>
          <w:szCs w:val="14"/>
        </w:rPr>
        <w:t xml:space="preserve">Nota: </w:t>
      </w:r>
      <w:proofErr w:type="gramStart"/>
      <w:r w:rsidRPr="0054000D">
        <w:rPr>
          <w:rFonts w:ascii="Tahoma" w:hAnsi="Tahoma" w:cs="Tahoma"/>
          <w:sz w:val="12"/>
          <w:szCs w:val="14"/>
        </w:rPr>
        <w:t>Janeiro</w:t>
      </w:r>
      <w:proofErr w:type="gramEnd"/>
      <w:r w:rsidRPr="0054000D">
        <w:rPr>
          <w:rFonts w:ascii="Tahoma" w:hAnsi="Tahoma" w:cs="Tahoma"/>
          <w:sz w:val="12"/>
          <w:szCs w:val="14"/>
        </w:rPr>
        <w:t xml:space="preserve"> a Outubro de 2024.</w:t>
      </w:r>
    </w:p>
    <w:p w14:paraId="5BC1FB9D" w14:textId="77777777" w:rsidR="00500468" w:rsidRDefault="00500468" w:rsidP="002B3FE6">
      <w:pPr>
        <w:tabs>
          <w:tab w:val="left" w:pos="284"/>
        </w:tabs>
        <w:spacing w:after="120"/>
        <w:rPr>
          <w:rFonts w:cs="Tahoma"/>
          <w:szCs w:val="20"/>
        </w:rPr>
      </w:pPr>
    </w:p>
    <w:p w14:paraId="024318F8" w14:textId="2F5323EF" w:rsidR="00500468" w:rsidRPr="00500468" w:rsidRDefault="00DA7372" w:rsidP="00D93366">
      <w:pPr>
        <w:tabs>
          <w:tab w:val="left" w:pos="284"/>
        </w:tabs>
        <w:spacing w:after="120"/>
        <w:jc w:val="both"/>
        <w:rPr>
          <w:rFonts w:cs="Tahoma"/>
          <w:szCs w:val="20"/>
        </w:rPr>
      </w:pPr>
      <w:r>
        <w:rPr>
          <w:rFonts w:cs="Tahoma"/>
          <w:szCs w:val="20"/>
        </w:rPr>
        <w:tab/>
      </w:r>
      <w:r>
        <w:rPr>
          <w:rFonts w:cs="Tahoma"/>
          <w:szCs w:val="20"/>
        </w:rPr>
        <w:tab/>
      </w:r>
      <w:r w:rsidR="00500468" w:rsidRPr="00500468">
        <w:rPr>
          <w:rFonts w:cs="Tahoma"/>
          <w:szCs w:val="20"/>
        </w:rPr>
        <w:t xml:space="preserve">Para 2025, a tendência é de volatilidade na bolsa brasileira, com o movimento dos juros nos EUA sendo sopesado pela evolução das variáveis domésticas. Se por um lado a situação fiscal aumenta a percepção de risco do investidor estrangeiro, por outro, a possível continuidade de queda dos prêmios pagos pelos </w:t>
      </w:r>
      <w:proofErr w:type="spellStart"/>
      <w:r w:rsidR="00500468" w:rsidRPr="00500468">
        <w:rPr>
          <w:rFonts w:cs="Tahoma"/>
          <w:szCs w:val="20"/>
        </w:rPr>
        <w:t>treasuries</w:t>
      </w:r>
      <w:proofErr w:type="spellEnd"/>
      <w:r w:rsidR="00500468" w:rsidRPr="00500468">
        <w:rPr>
          <w:rFonts w:cs="Tahoma"/>
          <w:szCs w:val="20"/>
        </w:rPr>
        <w:t xml:space="preserve"> norte americanos diminui o incentivo à saída de recursos da Bovespa. </w:t>
      </w:r>
    </w:p>
    <w:p w14:paraId="63219EA2" w14:textId="23964412" w:rsidR="00500468" w:rsidRPr="00500468" w:rsidRDefault="00DA7372" w:rsidP="00D93366">
      <w:pPr>
        <w:tabs>
          <w:tab w:val="left" w:pos="284"/>
        </w:tabs>
        <w:spacing w:after="120"/>
        <w:jc w:val="both"/>
        <w:rPr>
          <w:rFonts w:cs="Tahoma"/>
          <w:szCs w:val="20"/>
        </w:rPr>
      </w:pPr>
      <w:r>
        <w:rPr>
          <w:rFonts w:cs="Tahoma"/>
          <w:szCs w:val="20"/>
        </w:rPr>
        <w:tab/>
      </w:r>
      <w:r>
        <w:rPr>
          <w:rFonts w:cs="Tahoma"/>
          <w:szCs w:val="20"/>
        </w:rPr>
        <w:tab/>
      </w:r>
      <w:r w:rsidR="00500468" w:rsidRPr="00500468">
        <w:rPr>
          <w:rFonts w:cs="Tahoma"/>
          <w:szCs w:val="20"/>
        </w:rPr>
        <w:t>Em adição, a expectativa de juros altos no decorrer de 2025 também diminui a atratividade da Bolsa brasileira, que por sua vez aposta nas previsões mais otimistas de PIB como forma de atrair maiores investimentos nas empresas do país.</w:t>
      </w:r>
    </w:p>
    <w:p w14:paraId="1BCFA411" w14:textId="58844217" w:rsidR="00500468" w:rsidRPr="00500468" w:rsidRDefault="00DA7372" w:rsidP="00D93366">
      <w:pPr>
        <w:tabs>
          <w:tab w:val="left" w:pos="284"/>
        </w:tabs>
        <w:spacing w:after="120"/>
        <w:jc w:val="both"/>
        <w:rPr>
          <w:rFonts w:cs="Tahoma"/>
          <w:szCs w:val="20"/>
        </w:rPr>
      </w:pPr>
      <w:r>
        <w:rPr>
          <w:rFonts w:cs="Tahoma"/>
          <w:szCs w:val="20"/>
        </w:rPr>
        <w:tab/>
      </w:r>
      <w:r>
        <w:rPr>
          <w:rFonts w:cs="Tahoma"/>
          <w:szCs w:val="20"/>
        </w:rPr>
        <w:tab/>
      </w:r>
      <w:r w:rsidR="00500468" w:rsidRPr="00500468">
        <w:rPr>
          <w:rFonts w:cs="Tahoma"/>
          <w:szCs w:val="20"/>
        </w:rPr>
        <w:t xml:space="preserve">A priori, segmentos vinculados às chamadas </w:t>
      </w:r>
      <w:proofErr w:type="spellStart"/>
      <w:r w:rsidR="00500468" w:rsidRPr="00500468">
        <w:rPr>
          <w:rFonts w:cs="Tahoma"/>
          <w:szCs w:val="20"/>
        </w:rPr>
        <w:t>utilities</w:t>
      </w:r>
      <w:proofErr w:type="spellEnd"/>
      <w:r w:rsidR="00500468" w:rsidRPr="00500468">
        <w:rPr>
          <w:rFonts w:cs="Tahoma"/>
          <w:szCs w:val="20"/>
        </w:rPr>
        <w:t xml:space="preserve"> (indústrias de serviços ess</w:t>
      </w:r>
      <w:r w:rsidR="007E1043">
        <w:rPr>
          <w:rFonts w:cs="Tahoma"/>
          <w:szCs w:val="20"/>
        </w:rPr>
        <w:t>e</w:t>
      </w:r>
      <w:r w:rsidR="00500468" w:rsidRPr="00500468">
        <w:rPr>
          <w:rFonts w:cs="Tahoma"/>
          <w:szCs w:val="20"/>
        </w:rPr>
        <w:t>ncia</w:t>
      </w:r>
      <w:r w:rsidR="007E1043">
        <w:rPr>
          <w:rFonts w:cs="Tahoma"/>
          <w:szCs w:val="20"/>
        </w:rPr>
        <w:t>i</w:t>
      </w:r>
      <w:r w:rsidR="00500468" w:rsidRPr="00500468">
        <w:rPr>
          <w:rFonts w:cs="Tahoma"/>
          <w:szCs w:val="20"/>
        </w:rPr>
        <w:t>s como água, energia e gás canalizado) e ao setor financeiro são vistos como aqueles com maior possibilidade de retorno em 2025, ganhando destaque dentre o conjunto de ações que integram o índice Ibovespa.</w:t>
      </w:r>
    </w:p>
    <w:p w14:paraId="07D5EA49" w14:textId="56325A8A" w:rsidR="00500468" w:rsidRPr="00500468" w:rsidRDefault="00DA7372" w:rsidP="00D93366">
      <w:pPr>
        <w:tabs>
          <w:tab w:val="left" w:pos="284"/>
        </w:tabs>
        <w:spacing w:after="120"/>
        <w:jc w:val="both"/>
        <w:rPr>
          <w:rFonts w:cs="Tahoma"/>
          <w:szCs w:val="20"/>
        </w:rPr>
      </w:pPr>
      <w:r>
        <w:rPr>
          <w:rFonts w:cs="Tahoma"/>
          <w:szCs w:val="20"/>
        </w:rPr>
        <w:tab/>
      </w:r>
      <w:r>
        <w:rPr>
          <w:rFonts w:cs="Tahoma"/>
          <w:szCs w:val="20"/>
        </w:rPr>
        <w:tab/>
      </w:r>
      <w:r w:rsidR="00500468" w:rsidRPr="00500468">
        <w:rPr>
          <w:rFonts w:cs="Tahoma"/>
          <w:szCs w:val="20"/>
        </w:rPr>
        <w:t>Já as empresas intensivas em commodities não gozam de projeções mais otimistas, muito em função do baixo ritmo de atividade esperado na China, cuja produção industrial tem respondido de forma direta pela variação dos preços internacionais de tais produtos.</w:t>
      </w:r>
    </w:p>
    <w:p w14:paraId="34899849" w14:textId="64C833D3" w:rsidR="00500468" w:rsidRPr="00500468" w:rsidRDefault="00DA7372" w:rsidP="00D93366">
      <w:pPr>
        <w:tabs>
          <w:tab w:val="left" w:pos="284"/>
        </w:tabs>
        <w:spacing w:after="120"/>
        <w:jc w:val="both"/>
        <w:rPr>
          <w:rFonts w:cs="Tahoma"/>
          <w:szCs w:val="20"/>
        </w:rPr>
      </w:pPr>
      <w:r>
        <w:rPr>
          <w:rFonts w:cs="Tahoma"/>
          <w:szCs w:val="20"/>
        </w:rPr>
        <w:tab/>
      </w:r>
      <w:r>
        <w:rPr>
          <w:rFonts w:cs="Tahoma"/>
          <w:szCs w:val="20"/>
        </w:rPr>
        <w:tab/>
      </w:r>
      <w:r w:rsidR="00500468" w:rsidRPr="00500468">
        <w:rPr>
          <w:rFonts w:cs="Tahoma"/>
          <w:szCs w:val="20"/>
        </w:rPr>
        <w:t>Ainda do ponto de vista externo, o já referido agravamento das tensões geopolíticas também tende a trazer instabilidade ao setor variável. O prolongamento de tais conflitos poderá criar novos choques de oferta, aumentando os custos produtivos em detrimento às expectativas de lucro das empresas, ou seja, também afetando o investimento em ações.</w:t>
      </w:r>
    </w:p>
    <w:p w14:paraId="63735F5B" w14:textId="6F7921BB" w:rsidR="00500468" w:rsidRDefault="00DA7372" w:rsidP="00D93366">
      <w:pPr>
        <w:tabs>
          <w:tab w:val="left" w:pos="284"/>
        </w:tabs>
        <w:spacing w:after="120"/>
        <w:jc w:val="both"/>
        <w:rPr>
          <w:rFonts w:cs="Tahoma"/>
          <w:szCs w:val="20"/>
        </w:rPr>
      </w:pPr>
      <w:r>
        <w:rPr>
          <w:rFonts w:cs="Tahoma"/>
          <w:szCs w:val="20"/>
        </w:rPr>
        <w:lastRenderedPageBreak/>
        <w:tab/>
      </w:r>
      <w:r>
        <w:rPr>
          <w:rFonts w:cs="Tahoma"/>
          <w:szCs w:val="20"/>
        </w:rPr>
        <w:tab/>
      </w:r>
      <w:r w:rsidR="00500468" w:rsidRPr="00500468">
        <w:rPr>
          <w:rFonts w:cs="Tahoma"/>
          <w:szCs w:val="20"/>
        </w:rPr>
        <w:t>Assim, de maneira semelhante às recomendações tecidas nos últimos relatórios, sugere-se fortemente a opção por empresas que possuam algumas das seguintes vantagens competitivas: forte geração de caixa, menor dependência de crédito, dívida saudável, atuação em áreas intensivas em tecnologia e demanda com baixa elasticidade.</w:t>
      </w:r>
    </w:p>
    <w:p w14:paraId="1894EEC1" w14:textId="77777777" w:rsidR="002B3FE6" w:rsidRDefault="002B3FE6" w:rsidP="002B3FE6">
      <w:pPr>
        <w:tabs>
          <w:tab w:val="left" w:pos="284"/>
        </w:tabs>
        <w:spacing w:after="120"/>
        <w:rPr>
          <w:rFonts w:cs="Tahoma"/>
          <w:szCs w:val="20"/>
        </w:rPr>
      </w:pPr>
    </w:p>
    <w:p w14:paraId="512EC669" w14:textId="77777777" w:rsidR="007D4405" w:rsidRDefault="007D4405" w:rsidP="002B3FE6">
      <w:pPr>
        <w:tabs>
          <w:tab w:val="left" w:pos="284"/>
        </w:tabs>
        <w:spacing w:after="120"/>
        <w:rPr>
          <w:rFonts w:cs="Tahoma"/>
          <w:szCs w:val="20"/>
        </w:rPr>
      </w:pPr>
    </w:p>
    <w:p w14:paraId="311EBD4A" w14:textId="77777777" w:rsidR="007D4405" w:rsidRDefault="007D4405" w:rsidP="002B3FE6">
      <w:pPr>
        <w:tabs>
          <w:tab w:val="left" w:pos="284"/>
        </w:tabs>
        <w:spacing w:after="120"/>
        <w:rPr>
          <w:rFonts w:cs="Tahoma"/>
          <w:szCs w:val="20"/>
        </w:rPr>
      </w:pPr>
    </w:p>
    <w:p w14:paraId="6C160FC3" w14:textId="77777777" w:rsidR="007D4405" w:rsidRDefault="007D4405" w:rsidP="002B3FE6">
      <w:pPr>
        <w:tabs>
          <w:tab w:val="left" w:pos="284"/>
        </w:tabs>
        <w:spacing w:after="120"/>
        <w:rPr>
          <w:rFonts w:cs="Tahoma"/>
          <w:szCs w:val="20"/>
        </w:rPr>
      </w:pPr>
    </w:p>
    <w:p w14:paraId="6777AC83" w14:textId="77777777" w:rsidR="007D4405" w:rsidRDefault="007D4405" w:rsidP="002B3FE6">
      <w:pPr>
        <w:tabs>
          <w:tab w:val="left" w:pos="284"/>
        </w:tabs>
        <w:spacing w:after="120"/>
        <w:rPr>
          <w:rFonts w:cs="Tahoma"/>
          <w:szCs w:val="20"/>
        </w:rPr>
      </w:pPr>
    </w:p>
    <w:p w14:paraId="3AFD5677" w14:textId="77777777" w:rsidR="007D4405" w:rsidRDefault="007D4405" w:rsidP="002B3FE6">
      <w:pPr>
        <w:tabs>
          <w:tab w:val="left" w:pos="284"/>
        </w:tabs>
        <w:spacing w:after="120"/>
        <w:rPr>
          <w:rFonts w:cs="Tahoma"/>
          <w:szCs w:val="20"/>
        </w:rPr>
      </w:pPr>
    </w:p>
    <w:p w14:paraId="5C022859" w14:textId="77777777" w:rsidR="007D4405" w:rsidRDefault="007D4405" w:rsidP="002B3FE6">
      <w:pPr>
        <w:tabs>
          <w:tab w:val="left" w:pos="284"/>
        </w:tabs>
        <w:spacing w:after="120"/>
        <w:rPr>
          <w:rFonts w:cs="Tahoma"/>
          <w:szCs w:val="20"/>
        </w:rPr>
      </w:pPr>
    </w:p>
    <w:p w14:paraId="0E9C1269" w14:textId="77777777" w:rsidR="007D4405" w:rsidRDefault="007D4405" w:rsidP="002B3FE6">
      <w:pPr>
        <w:tabs>
          <w:tab w:val="left" w:pos="284"/>
        </w:tabs>
        <w:spacing w:after="120"/>
        <w:rPr>
          <w:rFonts w:cs="Tahoma"/>
          <w:szCs w:val="20"/>
        </w:rPr>
      </w:pPr>
    </w:p>
    <w:p w14:paraId="316B58CA" w14:textId="77777777" w:rsidR="007D4405" w:rsidRDefault="007D4405" w:rsidP="002B3FE6">
      <w:pPr>
        <w:tabs>
          <w:tab w:val="left" w:pos="284"/>
        </w:tabs>
        <w:spacing w:after="120"/>
        <w:rPr>
          <w:rFonts w:cs="Tahoma"/>
          <w:szCs w:val="20"/>
        </w:rPr>
      </w:pPr>
    </w:p>
    <w:p w14:paraId="74DA57C8" w14:textId="77777777" w:rsidR="007D4405" w:rsidRDefault="007D4405" w:rsidP="002B3FE6">
      <w:pPr>
        <w:tabs>
          <w:tab w:val="left" w:pos="284"/>
        </w:tabs>
        <w:spacing w:after="120"/>
        <w:rPr>
          <w:rFonts w:cs="Tahoma"/>
          <w:szCs w:val="20"/>
        </w:rPr>
      </w:pPr>
    </w:p>
    <w:p w14:paraId="7FF80A63" w14:textId="77777777" w:rsidR="007D4405" w:rsidRDefault="007D4405" w:rsidP="002B3FE6">
      <w:pPr>
        <w:tabs>
          <w:tab w:val="left" w:pos="284"/>
        </w:tabs>
        <w:spacing w:after="120"/>
        <w:rPr>
          <w:rFonts w:cs="Tahoma"/>
          <w:szCs w:val="20"/>
        </w:rPr>
      </w:pPr>
    </w:p>
    <w:p w14:paraId="785BCFF8" w14:textId="77777777" w:rsidR="007D4405" w:rsidRDefault="007D4405" w:rsidP="002B3FE6">
      <w:pPr>
        <w:tabs>
          <w:tab w:val="left" w:pos="284"/>
        </w:tabs>
        <w:spacing w:after="120"/>
        <w:rPr>
          <w:rFonts w:cs="Tahoma"/>
          <w:szCs w:val="20"/>
        </w:rPr>
      </w:pPr>
    </w:p>
    <w:p w14:paraId="5058CF52" w14:textId="77777777" w:rsidR="007D4405" w:rsidRDefault="007D4405" w:rsidP="002B3FE6">
      <w:pPr>
        <w:tabs>
          <w:tab w:val="left" w:pos="284"/>
        </w:tabs>
        <w:spacing w:after="120"/>
        <w:rPr>
          <w:rFonts w:cs="Tahoma"/>
          <w:szCs w:val="20"/>
        </w:rPr>
      </w:pPr>
    </w:p>
    <w:p w14:paraId="7907016D" w14:textId="77777777" w:rsidR="007D4405" w:rsidRDefault="007D4405" w:rsidP="002B3FE6">
      <w:pPr>
        <w:tabs>
          <w:tab w:val="left" w:pos="284"/>
        </w:tabs>
        <w:spacing w:after="120"/>
        <w:rPr>
          <w:rFonts w:cs="Tahoma"/>
          <w:szCs w:val="20"/>
        </w:rPr>
      </w:pPr>
    </w:p>
    <w:p w14:paraId="79AAAE9E" w14:textId="77777777" w:rsidR="007D4405" w:rsidRDefault="007D4405" w:rsidP="002B3FE6">
      <w:pPr>
        <w:tabs>
          <w:tab w:val="left" w:pos="284"/>
        </w:tabs>
        <w:spacing w:after="120"/>
        <w:rPr>
          <w:rFonts w:cs="Tahoma"/>
          <w:szCs w:val="20"/>
        </w:rPr>
      </w:pPr>
    </w:p>
    <w:p w14:paraId="1272E83E" w14:textId="77777777" w:rsidR="007D4405" w:rsidRDefault="007D4405" w:rsidP="002B3FE6">
      <w:pPr>
        <w:tabs>
          <w:tab w:val="left" w:pos="284"/>
        </w:tabs>
        <w:spacing w:after="120"/>
        <w:rPr>
          <w:rFonts w:cs="Tahoma"/>
          <w:szCs w:val="20"/>
        </w:rPr>
      </w:pPr>
    </w:p>
    <w:p w14:paraId="36D30308" w14:textId="77777777" w:rsidR="007D4405" w:rsidRDefault="007D4405" w:rsidP="002B3FE6">
      <w:pPr>
        <w:tabs>
          <w:tab w:val="left" w:pos="284"/>
        </w:tabs>
        <w:spacing w:after="120"/>
        <w:rPr>
          <w:rFonts w:cs="Tahoma"/>
          <w:szCs w:val="20"/>
        </w:rPr>
      </w:pPr>
    </w:p>
    <w:p w14:paraId="300EDFFD" w14:textId="77777777" w:rsidR="007D4405" w:rsidRDefault="007D4405" w:rsidP="002B3FE6">
      <w:pPr>
        <w:tabs>
          <w:tab w:val="left" w:pos="284"/>
        </w:tabs>
        <w:spacing w:after="120"/>
        <w:rPr>
          <w:rFonts w:cs="Tahoma"/>
          <w:szCs w:val="20"/>
        </w:rPr>
      </w:pPr>
    </w:p>
    <w:p w14:paraId="3763737B" w14:textId="77777777" w:rsidR="007D4405" w:rsidRDefault="007D4405" w:rsidP="002B3FE6">
      <w:pPr>
        <w:tabs>
          <w:tab w:val="left" w:pos="284"/>
        </w:tabs>
        <w:spacing w:after="120"/>
        <w:rPr>
          <w:rFonts w:cs="Tahoma"/>
          <w:szCs w:val="20"/>
        </w:rPr>
      </w:pPr>
    </w:p>
    <w:p w14:paraId="07D0F484" w14:textId="77777777" w:rsidR="007D4405" w:rsidRDefault="007D4405" w:rsidP="002B3FE6">
      <w:pPr>
        <w:tabs>
          <w:tab w:val="left" w:pos="284"/>
        </w:tabs>
        <w:spacing w:after="120"/>
        <w:rPr>
          <w:rFonts w:cs="Tahoma"/>
          <w:szCs w:val="20"/>
        </w:rPr>
      </w:pPr>
    </w:p>
    <w:p w14:paraId="0A3D56AA" w14:textId="77777777" w:rsidR="007D4405" w:rsidRDefault="007D4405" w:rsidP="002B3FE6">
      <w:pPr>
        <w:tabs>
          <w:tab w:val="left" w:pos="284"/>
        </w:tabs>
        <w:spacing w:after="120"/>
        <w:rPr>
          <w:rFonts w:cs="Tahoma"/>
          <w:szCs w:val="20"/>
        </w:rPr>
      </w:pPr>
    </w:p>
    <w:p w14:paraId="05B23349" w14:textId="77777777" w:rsidR="007D4405" w:rsidRDefault="007D4405" w:rsidP="002B3FE6">
      <w:pPr>
        <w:tabs>
          <w:tab w:val="left" w:pos="284"/>
        </w:tabs>
        <w:spacing w:after="120"/>
        <w:rPr>
          <w:rFonts w:cs="Tahoma"/>
          <w:szCs w:val="20"/>
        </w:rPr>
      </w:pPr>
    </w:p>
    <w:p w14:paraId="312FFD66" w14:textId="77777777" w:rsidR="007D4405" w:rsidRDefault="007D4405" w:rsidP="002B3FE6">
      <w:pPr>
        <w:tabs>
          <w:tab w:val="left" w:pos="284"/>
        </w:tabs>
        <w:spacing w:after="120"/>
        <w:rPr>
          <w:rFonts w:cs="Tahoma"/>
          <w:szCs w:val="20"/>
        </w:rPr>
      </w:pPr>
    </w:p>
    <w:p w14:paraId="0BE22432" w14:textId="77777777" w:rsidR="007D4405" w:rsidRDefault="007D4405" w:rsidP="002B3FE6">
      <w:pPr>
        <w:tabs>
          <w:tab w:val="left" w:pos="284"/>
        </w:tabs>
        <w:spacing w:after="120"/>
        <w:rPr>
          <w:rFonts w:cs="Tahoma"/>
          <w:szCs w:val="20"/>
        </w:rPr>
      </w:pPr>
    </w:p>
    <w:p w14:paraId="3DBDEE5B" w14:textId="77777777" w:rsidR="007D4405" w:rsidRDefault="007D4405" w:rsidP="002B3FE6">
      <w:pPr>
        <w:tabs>
          <w:tab w:val="left" w:pos="284"/>
        </w:tabs>
        <w:spacing w:after="120"/>
        <w:rPr>
          <w:rFonts w:cs="Tahoma"/>
          <w:szCs w:val="20"/>
        </w:rPr>
      </w:pPr>
    </w:p>
    <w:p w14:paraId="6D128ACC" w14:textId="77777777" w:rsidR="007D4405" w:rsidRDefault="007D4405" w:rsidP="00AD12FB">
      <w:pPr>
        <w:spacing w:after="120"/>
        <w:ind w:firstLine="709"/>
        <w:jc w:val="both"/>
      </w:pPr>
    </w:p>
    <w:p w14:paraId="2F376B49" w14:textId="77777777" w:rsidR="000C021C" w:rsidRDefault="000C021C" w:rsidP="00AD12FB">
      <w:pPr>
        <w:spacing w:after="120"/>
        <w:ind w:firstLine="709"/>
        <w:jc w:val="both"/>
      </w:pPr>
    </w:p>
    <w:p w14:paraId="4AE12FBE" w14:textId="77777777" w:rsidR="000C021C" w:rsidRDefault="000C021C" w:rsidP="00AD12FB">
      <w:pPr>
        <w:spacing w:after="120"/>
        <w:ind w:firstLine="709"/>
        <w:jc w:val="both"/>
      </w:pPr>
    </w:p>
    <w:bookmarkStart w:id="27" w:name="_Toc181542573"/>
    <w:p w14:paraId="141D46C3" w14:textId="105A238D" w:rsidR="00465C63" w:rsidRPr="00171269" w:rsidRDefault="00AD12FB" w:rsidP="000C021C">
      <w:pPr>
        <w:pStyle w:val="Ttulo1"/>
        <w:rPr>
          <w:b w:val="0"/>
          <w:color w:val="17365D" w:themeColor="text2" w:themeShade="BF"/>
        </w:rPr>
      </w:pPr>
      <w:r w:rsidRPr="00E4782B">
        <w:object w:dxaOrig="2425" w:dyaOrig="2598" w14:anchorId="6DBAB14C">
          <v:shape id="_x0000_i1062" type="#_x0000_t75" style="width:9.75pt;height:9pt" o:ole="">
            <v:imagedata r:id="rId11" o:title=""/>
          </v:shape>
          <o:OLEObject Type="Embed" ProgID="CorelDRAW.Graphic.13" ShapeID="_x0000_i1062" DrawAspect="Content" ObjectID="_1793685935" r:id="rId62"/>
        </w:object>
      </w:r>
      <w:r w:rsidR="00465C63" w:rsidRPr="000C021C">
        <w:rPr>
          <w:rStyle w:val="Ttulo1Char"/>
          <w:b/>
          <w:bCs/>
          <w:sz w:val="22"/>
        </w:rPr>
        <w:t>CONSIDERAÇÕES GERAIS – CENÁRIO 202</w:t>
      </w:r>
      <w:r w:rsidR="00E16EDA" w:rsidRPr="000C021C">
        <w:rPr>
          <w:rStyle w:val="Ttulo1Char"/>
          <w:b/>
          <w:bCs/>
          <w:sz w:val="22"/>
        </w:rPr>
        <w:t>4</w:t>
      </w:r>
      <w:r w:rsidR="00465C63" w:rsidRPr="000C021C">
        <w:rPr>
          <w:rStyle w:val="Ttulo1Char"/>
          <w:b/>
          <w:bCs/>
          <w:sz w:val="22"/>
        </w:rPr>
        <w:t>/202</w:t>
      </w:r>
      <w:r w:rsidR="00E16EDA" w:rsidRPr="000C021C">
        <w:rPr>
          <w:rStyle w:val="Ttulo1Char"/>
          <w:b/>
          <w:bCs/>
          <w:sz w:val="22"/>
        </w:rPr>
        <w:t>5</w:t>
      </w:r>
      <w:r w:rsidR="00465C63" w:rsidRPr="000C021C">
        <w:rPr>
          <w:b w:val="0"/>
          <w:bCs/>
          <w:color w:val="17365D" w:themeColor="text2" w:themeShade="BF"/>
          <w:sz w:val="20"/>
        </w:rPr>
        <w:t xml:space="preserve"> </w:t>
      </w:r>
      <w:bookmarkEnd w:id="27"/>
      <w:r w:rsidR="00465C63" w:rsidRPr="00171269">
        <w:rPr>
          <w:color w:val="17365D" w:themeColor="text2" w:themeShade="BF"/>
          <w:sz w:val="30"/>
          <w:szCs w:val="30"/>
        </w:rPr>
        <w:object w:dxaOrig="3163" w:dyaOrig="3187" w14:anchorId="15F31A58">
          <v:shape id="_x0000_i1063" type="#_x0000_t75" style="width:21.75pt;height:23.25pt" o:ole="">
            <v:imagedata r:id="rId13" o:title=""/>
          </v:shape>
          <o:OLEObject Type="Embed" ProgID="CorelDRAW.Graphic.13" ShapeID="_x0000_i1063" DrawAspect="Content" ObjectID="_1793685936" r:id="rId63"/>
        </w:object>
      </w:r>
    </w:p>
    <w:p w14:paraId="42307165" w14:textId="77777777" w:rsidR="00465C63" w:rsidRPr="00171269" w:rsidRDefault="00465C63" w:rsidP="00AD12FB">
      <w:pPr>
        <w:spacing w:after="120"/>
        <w:ind w:firstLine="709"/>
        <w:jc w:val="both"/>
        <w:rPr>
          <w:rFonts w:ascii="Tahoma" w:hAnsi="Tahoma" w:cs="Tahoma"/>
        </w:rPr>
      </w:pPr>
    </w:p>
    <w:p w14:paraId="4E60C2D7" w14:textId="64476026" w:rsidR="00DA7372" w:rsidRPr="00DA7372" w:rsidRDefault="007E1128" w:rsidP="00DA7372">
      <w:pPr>
        <w:spacing w:after="120"/>
        <w:ind w:firstLine="709"/>
        <w:jc w:val="both"/>
        <w:rPr>
          <w:rFonts w:ascii="Tahoma" w:hAnsi="Tahoma" w:cs="Tahoma"/>
          <w:sz w:val="20"/>
          <w:szCs w:val="20"/>
        </w:rPr>
      </w:pPr>
      <w:r w:rsidRPr="00BE6FCD">
        <w:rPr>
          <w:rFonts w:ascii="Tahoma" w:hAnsi="Tahoma" w:cs="Tahoma"/>
          <w:sz w:val="20"/>
          <w:szCs w:val="20"/>
        </w:rPr>
        <w:t>Para concluir, sublinham-se as possíveis relações acerca das expectativas econômicas associadas ao comportamento efetivo constatado durante o ano de 202</w:t>
      </w:r>
      <w:r w:rsidR="002B3FE6">
        <w:rPr>
          <w:rFonts w:ascii="Tahoma" w:hAnsi="Tahoma" w:cs="Tahoma"/>
          <w:sz w:val="20"/>
          <w:szCs w:val="20"/>
        </w:rPr>
        <w:t>4</w:t>
      </w:r>
      <w:r w:rsidRPr="00BE6FCD">
        <w:rPr>
          <w:rFonts w:ascii="Tahoma" w:hAnsi="Tahoma" w:cs="Tahoma"/>
          <w:sz w:val="20"/>
          <w:szCs w:val="20"/>
        </w:rPr>
        <w:t>. Fazer estas assimilações ajudará na compreensão para daqui em diante tentar conseguir antecipar os movimentos econômicos e auferir resultados mais consistentes na gestão dos recursos dos regimes próprios de previdência social</w:t>
      </w:r>
      <w:r w:rsidR="00465C63" w:rsidRPr="00BE6FCD">
        <w:rPr>
          <w:rFonts w:ascii="Tahoma" w:hAnsi="Tahoma" w:cs="Tahoma"/>
          <w:sz w:val="20"/>
        </w:rPr>
        <w:t xml:space="preserve">, </w:t>
      </w:r>
      <w:r w:rsidR="002326E7" w:rsidRPr="00BE6FCD">
        <w:rPr>
          <w:rFonts w:ascii="Tahoma" w:hAnsi="Tahoma" w:cs="Tahoma"/>
          <w:b/>
          <w:noProof/>
          <w:sz w:val="20"/>
        </w:rPr>
        <w:fldChar w:fldCharType="begin"/>
      </w:r>
      <w:r w:rsidR="002326E7" w:rsidRPr="00BE6FCD">
        <w:rPr>
          <w:rFonts w:ascii="Tahoma" w:hAnsi="Tahoma" w:cs="Tahoma"/>
          <w:b/>
          <w:noProof/>
          <w:sz w:val="20"/>
        </w:rPr>
        <w:instrText xml:space="preserve"> MERGEFIELD NOME_DO_FUNDO </w:instrText>
      </w:r>
      <w:r w:rsidR="002326E7" w:rsidRPr="00BE6FCD">
        <w:rPr>
          <w:rFonts w:ascii="Tahoma" w:hAnsi="Tahoma" w:cs="Tahoma"/>
          <w:b/>
          <w:noProof/>
          <w:sz w:val="20"/>
        </w:rPr>
        <w:fldChar w:fldCharType="separate"/>
      </w:r>
      <w:r w:rsidR="00A14265" w:rsidRPr="00BC514D">
        <w:rPr>
          <w:rFonts w:ascii="Tahoma" w:hAnsi="Tahoma" w:cs="Tahoma"/>
          <w:b/>
          <w:noProof/>
          <w:sz w:val="20"/>
        </w:rPr>
        <w:t>FUNDO DE ASSISTÊNCIA E PREVIDÊNCIA DOS SERVIDORES ESTATUTÁRIOS DO MUNICÍPIO DE TRIUNFO – FAPETRI</w:t>
      </w:r>
      <w:r w:rsidR="002326E7" w:rsidRPr="00BE6FCD">
        <w:rPr>
          <w:rFonts w:ascii="Tahoma" w:hAnsi="Tahoma" w:cs="Tahoma"/>
          <w:b/>
          <w:noProof/>
          <w:sz w:val="20"/>
        </w:rPr>
        <w:fldChar w:fldCharType="end"/>
      </w:r>
      <w:r w:rsidR="00465C63" w:rsidRPr="00BE6FCD">
        <w:rPr>
          <w:rFonts w:ascii="Tahoma" w:hAnsi="Tahoma" w:cs="Tahoma"/>
          <w:b/>
          <w:sz w:val="20"/>
        </w:rPr>
        <w:t xml:space="preserve"> </w:t>
      </w:r>
      <w:r w:rsidRPr="00BE6FCD">
        <w:rPr>
          <w:rFonts w:ascii="Tahoma" w:hAnsi="Tahoma" w:cs="Tahoma"/>
          <w:sz w:val="20"/>
          <w:szCs w:val="20"/>
        </w:rPr>
        <w:t xml:space="preserve">neste caso. </w:t>
      </w:r>
      <w:r w:rsidR="00DA7372" w:rsidRPr="00DA7372">
        <w:rPr>
          <w:rFonts w:ascii="Tahoma" w:hAnsi="Tahoma" w:cs="Tahoma"/>
          <w:sz w:val="20"/>
          <w:szCs w:val="20"/>
        </w:rPr>
        <w:t>As expectativas para o exercício de 2025, até o presente momento, sinalizam um caminho que passa pela continuidade do ciclo de queda dos juros e da inflação em termos globais, possibilitando que a economia literalmente “dobre a esquina”, conforme o sugestivo título dado pela OCDE ao seu relatório de previsões macroeconômicas para o presente biênio.</w:t>
      </w:r>
    </w:p>
    <w:p w14:paraId="711F9455" w14:textId="3E389992" w:rsidR="00DA7372" w:rsidRPr="00DA7372" w:rsidRDefault="00DA7372" w:rsidP="00DA7372">
      <w:pPr>
        <w:spacing w:after="120"/>
        <w:ind w:firstLine="709"/>
        <w:jc w:val="both"/>
        <w:rPr>
          <w:rFonts w:ascii="Tahoma" w:hAnsi="Tahoma" w:cs="Tahoma"/>
          <w:sz w:val="20"/>
          <w:szCs w:val="20"/>
        </w:rPr>
      </w:pPr>
      <w:r w:rsidRPr="00DA7372">
        <w:rPr>
          <w:rFonts w:ascii="Tahoma" w:hAnsi="Tahoma" w:cs="Tahoma"/>
          <w:sz w:val="20"/>
          <w:szCs w:val="20"/>
        </w:rPr>
        <w:t>Sob o viés da economia doméstica, o principal desafio é recuperar a confiança na ancoragem inflacionária, para tanto, não sendo suficiente a manutenção de determinados níveis de contracionismo monetário, mas sim, uma pol</w:t>
      </w:r>
      <w:r w:rsidR="007E1043">
        <w:rPr>
          <w:rFonts w:ascii="Tahoma" w:hAnsi="Tahoma" w:cs="Tahoma"/>
          <w:sz w:val="20"/>
          <w:szCs w:val="20"/>
        </w:rPr>
        <w:t>í</w:t>
      </w:r>
      <w:r w:rsidRPr="00DA7372">
        <w:rPr>
          <w:rFonts w:ascii="Tahoma" w:hAnsi="Tahoma" w:cs="Tahoma"/>
          <w:sz w:val="20"/>
          <w:szCs w:val="20"/>
        </w:rPr>
        <w:t>tica suficientemente capaz de sinalizar ao mercado o compromisso do governo em equilibrar as contas públicas, pelo menos no que se refere à retomada de superávits primários.</w:t>
      </w:r>
    </w:p>
    <w:p w14:paraId="638A8619" w14:textId="0E363EEB" w:rsidR="00DA7372" w:rsidRPr="00DA7372" w:rsidRDefault="00DA7372" w:rsidP="00DA7372">
      <w:pPr>
        <w:spacing w:after="120"/>
        <w:ind w:firstLine="709"/>
        <w:jc w:val="both"/>
        <w:rPr>
          <w:rFonts w:ascii="Tahoma" w:hAnsi="Tahoma" w:cs="Tahoma"/>
          <w:sz w:val="20"/>
          <w:szCs w:val="20"/>
        </w:rPr>
      </w:pPr>
      <w:r w:rsidRPr="00DA7372">
        <w:rPr>
          <w:rFonts w:ascii="Tahoma" w:hAnsi="Tahoma" w:cs="Tahoma"/>
          <w:sz w:val="20"/>
          <w:szCs w:val="20"/>
        </w:rPr>
        <w:t xml:space="preserve">Nesse contexto, a calibragem da política monetária a ser conferida pelo Bacen precisará mais uma vez estabelecer um adequado equilíbrio entre controle inflacionário e incentivo ao crescimento econômico, uma vez que não resta garantida idêntica resiliência observada em 2024. Com um espaço fiscal cada vez mais reduzido, </w:t>
      </w:r>
      <w:r w:rsidR="007E1043">
        <w:rPr>
          <w:rFonts w:ascii="Tahoma" w:hAnsi="Tahoma" w:cs="Tahoma"/>
          <w:sz w:val="20"/>
          <w:szCs w:val="20"/>
        </w:rPr>
        <w:t xml:space="preserve">torna-se cada vez menos provável </w:t>
      </w:r>
      <w:r w:rsidRPr="00DA7372">
        <w:rPr>
          <w:rFonts w:ascii="Tahoma" w:hAnsi="Tahoma" w:cs="Tahoma"/>
          <w:sz w:val="20"/>
          <w:szCs w:val="20"/>
        </w:rPr>
        <w:t xml:space="preserve">a tendência de que ações governamentais consigam </w:t>
      </w:r>
      <w:r w:rsidR="007E1043">
        <w:rPr>
          <w:rFonts w:ascii="Tahoma" w:hAnsi="Tahoma" w:cs="Tahoma"/>
          <w:sz w:val="20"/>
          <w:szCs w:val="20"/>
        </w:rPr>
        <w:t>continuar</w:t>
      </w:r>
      <w:r w:rsidRPr="00DA7372">
        <w:rPr>
          <w:rFonts w:ascii="Tahoma" w:hAnsi="Tahoma" w:cs="Tahoma"/>
          <w:sz w:val="20"/>
          <w:szCs w:val="20"/>
        </w:rPr>
        <w:t xml:space="preserve"> mitigando </w:t>
      </w:r>
      <w:r w:rsidR="007E1043">
        <w:rPr>
          <w:rFonts w:ascii="Tahoma" w:hAnsi="Tahoma" w:cs="Tahoma"/>
          <w:sz w:val="20"/>
          <w:szCs w:val="20"/>
        </w:rPr>
        <w:t xml:space="preserve">os </w:t>
      </w:r>
      <w:r w:rsidRPr="00DA7372">
        <w:rPr>
          <w:rFonts w:ascii="Tahoma" w:hAnsi="Tahoma" w:cs="Tahoma"/>
          <w:sz w:val="20"/>
          <w:szCs w:val="20"/>
        </w:rPr>
        <w:t>efeitos de uma política monetária contracionista</w:t>
      </w:r>
      <w:r w:rsidR="007E1043">
        <w:rPr>
          <w:rFonts w:ascii="Tahoma" w:hAnsi="Tahoma" w:cs="Tahoma"/>
          <w:sz w:val="20"/>
          <w:szCs w:val="20"/>
        </w:rPr>
        <w:t>.</w:t>
      </w:r>
    </w:p>
    <w:p w14:paraId="54476BC9" w14:textId="2B89DE92" w:rsidR="00DA7372" w:rsidRPr="00DA7372" w:rsidRDefault="00DA7372" w:rsidP="00DA7372">
      <w:pPr>
        <w:spacing w:after="120"/>
        <w:ind w:firstLine="709"/>
        <w:jc w:val="both"/>
        <w:rPr>
          <w:rFonts w:ascii="Tahoma" w:hAnsi="Tahoma" w:cs="Tahoma"/>
          <w:sz w:val="20"/>
          <w:szCs w:val="20"/>
        </w:rPr>
      </w:pPr>
      <w:r w:rsidRPr="00DA7372">
        <w:rPr>
          <w:rFonts w:ascii="Tahoma" w:hAnsi="Tahoma" w:cs="Tahoma"/>
          <w:sz w:val="20"/>
          <w:szCs w:val="20"/>
        </w:rPr>
        <w:t>Ainda sob o ponto de vista fiscal, vislumbra-se como principal desafio ao governo conciliar um orçamento já bastante ajustado com a ampliação e até mesmo manutenção dos diversos programas sociais em curso, relembrando que</w:t>
      </w:r>
      <w:r w:rsidR="007E1043">
        <w:rPr>
          <w:rFonts w:ascii="Tahoma" w:hAnsi="Tahoma" w:cs="Tahoma"/>
          <w:sz w:val="20"/>
          <w:szCs w:val="20"/>
        </w:rPr>
        <w:t>,</w:t>
      </w:r>
      <w:r w:rsidRPr="00DA7372">
        <w:rPr>
          <w:rFonts w:ascii="Tahoma" w:hAnsi="Tahoma" w:cs="Tahoma"/>
          <w:sz w:val="20"/>
          <w:szCs w:val="20"/>
        </w:rPr>
        <w:t xml:space="preserve"> a grave crise enfrentada pelo Rio Grande do Sul não somente aumentou o desequilíbrio das contas públicas como vem ensejando outras pol</w:t>
      </w:r>
      <w:r w:rsidR="007E1043">
        <w:rPr>
          <w:rFonts w:ascii="Tahoma" w:hAnsi="Tahoma" w:cs="Tahoma"/>
          <w:sz w:val="20"/>
          <w:szCs w:val="20"/>
        </w:rPr>
        <w:t>í</w:t>
      </w:r>
      <w:r w:rsidRPr="00DA7372">
        <w:rPr>
          <w:rFonts w:ascii="Tahoma" w:hAnsi="Tahoma" w:cs="Tahoma"/>
          <w:sz w:val="20"/>
          <w:szCs w:val="20"/>
        </w:rPr>
        <w:t>ticas de incentivos por parte dos demais estados da federação.</w:t>
      </w:r>
    </w:p>
    <w:p w14:paraId="52FEDDC7" w14:textId="77777777" w:rsidR="00DA7372" w:rsidRPr="00DA7372" w:rsidRDefault="00DA7372" w:rsidP="00DA7372">
      <w:pPr>
        <w:spacing w:after="120"/>
        <w:ind w:firstLine="709"/>
        <w:jc w:val="both"/>
        <w:rPr>
          <w:rFonts w:ascii="Tahoma" w:hAnsi="Tahoma" w:cs="Tahoma"/>
          <w:sz w:val="20"/>
          <w:szCs w:val="20"/>
        </w:rPr>
      </w:pPr>
      <w:r w:rsidRPr="00DA7372">
        <w:rPr>
          <w:rFonts w:ascii="Tahoma" w:hAnsi="Tahoma" w:cs="Tahoma"/>
          <w:sz w:val="20"/>
          <w:szCs w:val="20"/>
        </w:rPr>
        <w:t xml:space="preserve">Diante deste cenário, a preferência segue sendo por títulos de prazos mais curtos, pelo menos no primeiro semestre de 2025, período em que as incertezas quanto aos desdobramentos da troca de comando a ser efetivada na Casa Branca restarão potencializadas. Uma vez confirmada a adoção das políticas protecionistas ventiladas durante a campanha presidencial, um possível movimento inflacionário tende a ocorrer nos EUA, tornando incerta a continuidade do ciclo de queda dos juros e com isso aumentando o risco de evasão das economias emergentes. </w:t>
      </w:r>
    </w:p>
    <w:p w14:paraId="168EFA61" w14:textId="48BF55C9" w:rsidR="00DA7372" w:rsidRPr="00DA7372" w:rsidRDefault="00DA7372" w:rsidP="00DA7372">
      <w:pPr>
        <w:spacing w:after="120"/>
        <w:ind w:firstLine="709"/>
        <w:jc w:val="both"/>
        <w:rPr>
          <w:rFonts w:ascii="Tahoma" w:hAnsi="Tahoma" w:cs="Tahoma"/>
          <w:sz w:val="20"/>
          <w:szCs w:val="20"/>
        </w:rPr>
      </w:pPr>
      <w:r w:rsidRPr="00DA7372">
        <w:rPr>
          <w:rFonts w:ascii="Tahoma" w:hAnsi="Tahoma" w:cs="Tahoma"/>
          <w:sz w:val="20"/>
          <w:szCs w:val="20"/>
        </w:rPr>
        <w:t>No mesmo sentido, o primeiro semestre de 2025 poderá servir como um grande termômetro no que diz respeito aos rumos da inflação no Brasil,</w:t>
      </w:r>
      <w:r w:rsidR="007E1043">
        <w:rPr>
          <w:rFonts w:ascii="Tahoma" w:hAnsi="Tahoma" w:cs="Tahoma"/>
          <w:sz w:val="20"/>
          <w:szCs w:val="20"/>
        </w:rPr>
        <w:t xml:space="preserve"> o que,</w:t>
      </w:r>
      <w:r w:rsidRPr="00DA7372">
        <w:rPr>
          <w:rFonts w:ascii="Tahoma" w:hAnsi="Tahoma" w:cs="Tahoma"/>
          <w:sz w:val="20"/>
          <w:szCs w:val="20"/>
        </w:rPr>
        <w:t xml:space="preserve"> </w:t>
      </w:r>
      <w:r w:rsidR="007E1043">
        <w:rPr>
          <w:rFonts w:ascii="Tahoma" w:hAnsi="Tahoma" w:cs="Tahoma"/>
          <w:sz w:val="20"/>
          <w:szCs w:val="20"/>
        </w:rPr>
        <w:t>a</w:t>
      </w:r>
      <w:r w:rsidRPr="00DA7372">
        <w:rPr>
          <w:rFonts w:ascii="Tahoma" w:hAnsi="Tahoma" w:cs="Tahoma"/>
          <w:sz w:val="20"/>
          <w:szCs w:val="20"/>
        </w:rPr>
        <w:t>o fim e ao cabo</w:t>
      </w:r>
      <w:r w:rsidR="007E1043">
        <w:rPr>
          <w:rFonts w:ascii="Tahoma" w:hAnsi="Tahoma" w:cs="Tahoma"/>
          <w:sz w:val="20"/>
          <w:szCs w:val="20"/>
        </w:rPr>
        <w:t>,</w:t>
      </w:r>
      <w:r w:rsidRPr="00DA7372">
        <w:rPr>
          <w:rFonts w:ascii="Tahoma" w:hAnsi="Tahoma" w:cs="Tahoma"/>
          <w:sz w:val="20"/>
          <w:szCs w:val="20"/>
        </w:rPr>
        <w:t xml:space="preserve"> desempenhará um papel fundamental na condução da pol</w:t>
      </w:r>
      <w:r w:rsidR="007E1043">
        <w:rPr>
          <w:rFonts w:ascii="Tahoma" w:hAnsi="Tahoma" w:cs="Tahoma"/>
          <w:sz w:val="20"/>
          <w:szCs w:val="20"/>
        </w:rPr>
        <w:t>í</w:t>
      </w:r>
      <w:r w:rsidRPr="00DA7372">
        <w:rPr>
          <w:rFonts w:ascii="Tahoma" w:hAnsi="Tahoma" w:cs="Tahoma"/>
          <w:sz w:val="20"/>
          <w:szCs w:val="20"/>
        </w:rPr>
        <w:t>tica monetária, em especial na definição da Selic.</w:t>
      </w:r>
    </w:p>
    <w:p w14:paraId="4E207D36" w14:textId="062821F9" w:rsidR="00717DC4" w:rsidRDefault="00DA7372" w:rsidP="00DA7372">
      <w:pPr>
        <w:spacing w:after="120"/>
        <w:ind w:firstLine="709"/>
        <w:jc w:val="both"/>
        <w:rPr>
          <w:rFonts w:ascii="Tahoma" w:hAnsi="Tahoma" w:cs="Tahoma"/>
          <w:sz w:val="20"/>
          <w:szCs w:val="20"/>
        </w:rPr>
      </w:pPr>
      <w:r w:rsidRPr="00DA7372">
        <w:rPr>
          <w:rFonts w:ascii="Tahoma" w:hAnsi="Tahoma" w:cs="Tahoma"/>
          <w:sz w:val="20"/>
          <w:szCs w:val="20"/>
        </w:rPr>
        <w:t>Todo esse contexto requer prudência na escolha pelas melhores opções, recomendando-se uma adequada e obrigatória diversificação do portfólio, cujas revisões periódicas deverão observar a evolução das variáveis macroeconômicas aqui ressaltadas. Nesse sentido, ganha cada vez mais importância as atividades de assessoramento técnico e profissional especializado junto à gestão pública.</w:t>
      </w:r>
    </w:p>
    <w:p w14:paraId="38C76CE1" w14:textId="77777777" w:rsidR="007D4405" w:rsidRDefault="007D4405" w:rsidP="00DA7372">
      <w:pPr>
        <w:spacing w:after="120"/>
        <w:ind w:firstLine="709"/>
        <w:jc w:val="both"/>
        <w:rPr>
          <w:rFonts w:ascii="Tahoma" w:hAnsi="Tahoma" w:cs="Tahoma"/>
          <w:sz w:val="20"/>
          <w:szCs w:val="20"/>
        </w:rPr>
      </w:pPr>
    </w:p>
    <w:p w14:paraId="1CC32232" w14:textId="77777777" w:rsidR="007D4405" w:rsidRDefault="007D4405" w:rsidP="00DA7372">
      <w:pPr>
        <w:spacing w:after="120"/>
        <w:ind w:firstLine="709"/>
        <w:jc w:val="both"/>
        <w:rPr>
          <w:rFonts w:ascii="Tahoma" w:hAnsi="Tahoma" w:cs="Tahoma"/>
          <w:sz w:val="20"/>
          <w:szCs w:val="20"/>
        </w:rPr>
      </w:pPr>
    </w:p>
    <w:p w14:paraId="47EC38A1" w14:textId="77777777" w:rsidR="007D4405" w:rsidRPr="00D76F44" w:rsidRDefault="007D4405" w:rsidP="00DA7372">
      <w:pPr>
        <w:spacing w:after="120"/>
        <w:ind w:firstLine="709"/>
        <w:jc w:val="both"/>
        <w:rPr>
          <w:rFonts w:ascii="Tahoma" w:hAnsi="Tahoma" w:cs="Tahoma"/>
          <w:sz w:val="20"/>
          <w:szCs w:val="20"/>
        </w:rPr>
      </w:pPr>
    </w:p>
    <w:bookmarkStart w:id="28" w:name="_Toc181542574"/>
    <w:p w14:paraId="7DCE806B" w14:textId="18E003F9" w:rsidR="00465C63" w:rsidRPr="00E8601E" w:rsidRDefault="00AD12FB" w:rsidP="000C021C">
      <w:pPr>
        <w:pStyle w:val="Ttulo1"/>
        <w:rPr>
          <w:sz w:val="20"/>
        </w:rPr>
      </w:pPr>
      <w:r w:rsidRPr="00E4782B">
        <w:object w:dxaOrig="2425" w:dyaOrig="2598" w14:anchorId="27CFDBFC">
          <v:shape id="_x0000_i1064" type="#_x0000_t75" style="width:9.75pt;height:9pt" o:ole="">
            <v:imagedata r:id="rId11" o:title=""/>
          </v:shape>
          <o:OLEObject Type="Embed" ProgID="CorelDRAW.Graphic.13" ShapeID="_x0000_i1064" DrawAspect="Content" ObjectID="_1793685937" r:id="rId64"/>
        </w:object>
      </w:r>
      <w:r w:rsidR="00465C63" w:rsidRPr="000C021C">
        <w:rPr>
          <w:rStyle w:val="Ttulo1Char"/>
          <w:b/>
          <w:bCs/>
          <w:sz w:val="22"/>
        </w:rPr>
        <w:t>CONTROLE DE RISCOS</w:t>
      </w:r>
      <w:r w:rsidR="00465C63" w:rsidRPr="00E8601E">
        <w:rPr>
          <w:color w:val="17365D" w:themeColor="text2" w:themeShade="BF"/>
          <w:sz w:val="20"/>
        </w:rPr>
        <w:t xml:space="preserve"> </w:t>
      </w:r>
      <w:bookmarkEnd w:id="28"/>
      <w:r w:rsidR="00465C63" w:rsidRPr="00E8601E">
        <w:rPr>
          <w:sz w:val="20"/>
        </w:rPr>
        <w:object w:dxaOrig="3163" w:dyaOrig="3187" w14:anchorId="2A464FE7">
          <v:shape id="_x0000_i1065" type="#_x0000_t75" style="width:21.75pt;height:23.25pt" o:ole="">
            <v:imagedata r:id="rId13" o:title=""/>
          </v:shape>
          <o:OLEObject Type="Embed" ProgID="CorelDRAW.Graphic.13" ShapeID="_x0000_i1065" DrawAspect="Content" ObjectID="_1793685938" r:id="rId65"/>
        </w:object>
      </w:r>
    </w:p>
    <w:p w14:paraId="7621719E" w14:textId="77777777" w:rsidR="00465C63" w:rsidRPr="00E8601E" w:rsidRDefault="00465C63" w:rsidP="00AD12FB">
      <w:pPr>
        <w:spacing w:after="120"/>
        <w:ind w:firstLine="709"/>
        <w:jc w:val="both"/>
        <w:rPr>
          <w:rFonts w:ascii="Tahoma" w:hAnsi="Tahoma" w:cs="Tahoma"/>
          <w:sz w:val="20"/>
        </w:rPr>
      </w:pPr>
    </w:p>
    <w:p w14:paraId="7C10B833" w14:textId="4C69A4CF" w:rsidR="00465C63" w:rsidRPr="00D31186" w:rsidRDefault="000973AA" w:rsidP="00AD12FB">
      <w:pPr>
        <w:spacing w:after="120"/>
        <w:ind w:firstLine="709"/>
        <w:jc w:val="both"/>
        <w:rPr>
          <w:rFonts w:ascii="Tahoma" w:hAnsi="Tahoma" w:cs="Tahoma"/>
          <w:sz w:val="20"/>
        </w:rPr>
      </w:pPr>
      <w:r w:rsidRPr="00D31186">
        <w:rPr>
          <w:rFonts w:ascii="Tahoma" w:hAnsi="Tahoma" w:cs="Tahoma"/>
          <w:sz w:val="20"/>
        </w:rPr>
        <w:t xml:space="preserve">O </w:t>
      </w:r>
      <w:r w:rsidRPr="00D31186">
        <w:rPr>
          <w:rFonts w:ascii="Tahoma" w:hAnsi="Tahoma" w:cs="Tahoma"/>
          <w:b/>
          <w:bCs/>
          <w:sz w:val="20"/>
        </w:rPr>
        <w:fldChar w:fldCharType="begin"/>
      </w:r>
      <w:r w:rsidRPr="00D31186">
        <w:rPr>
          <w:rFonts w:ascii="Tahoma" w:hAnsi="Tahoma" w:cs="Tahoma"/>
          <w:b/>
          <w:bCs/>
          <w:sz w:val="20"/>
        </w:rPr>
        <w:instrText xml:space="preserve"> MERGEFIELD NOME_DO_FUNDO </w:instrText>
      </w:r>
      <w:r w:rsidRPr="00D31186">
        <w:rPr>
          <w:rFonts w:ascii="Tahoma" w:hAnsi="Tahoma" w:cs="Tahoma"/>
          <w:b/>
          <w:bCs/>
          <w:sz w:val="20"/>
        </w:rPr>
        <w:fldChar w:fldCharType="separate"/>
      </w:r>
      <w:r w:rsidR="00A14265" w:rsidRPr="00BC514D">
        <w:rPr>
          <w:rFonts w:ascii="Tahoma" w:hAnsi="Tahoma" w:cs="Tahoma"/>
          <w:b/>
          <w:bCs/>
          <w:noProof/>
          <w:sz w:val="20"/>
        </w:rPr>
        <w:t>FUNDO DE ASSISTÊNCIA E PREVIDÊNCIA DOS SERVIDORES ESTATUTÁRIOS DO MUNICÍPIO DE TRIUNFO – FAPETRI</w:t>
      </w:r>
      <w:r w:rsidRPr="00D31186">
        <w:rPr>
          <w:rFonts w:ascii="Tahoma" w:hAnsi="Tahoma" w:cs="Tahoma"/>
          <w:b/>
          <w:bCs/>
          <w:sz w:val="20"/>
        </w:rPr>
        <w:fldChar w:fldCharType="end"/>
      </w:r>
      <w:r w:rsidRPr="00D31186">
        <w:rPr>
          <w:rFonts w:ascii="Tahoma" w:hAnsi="Tahoma" w:cs="Tahoma"/>
          <w:sz w:val="20"/>
        </w:rPr>
        <w:t xml:space="preserve"> fará o controle de riscos dos investimentos através do acompanhamento dos riscos de mercado, de liquidez, crédito, descasamento e </w:t>
      </w:r>
      <w:r w:rsidR="004276F4" w:rsidRPr="00D31186">
        <w:rPr>
          <w:rFonts w:ascii="Tahoma" w:hAnsi="Tahoma" w:cs="Tahoma"/>
          <w:sz w:val="20"/>
        </w:rPr>
        <w:t>i</w:t>
      </w:r>
      <w:r w:rsidRPr="00D31186">
        <w:rPr>
          <w:rFonts w:ascii="Tahoma" w:hAnsi="Tahoma" w:cs="Tahoma"/>
          <w:sz w:val="20"/>
        </w:rPr>
        <w:t>magem</w:t>
      </w:r>
      <w:r w:rsidR="005D3A43">
        <w:rPr>
          <w:rFonts w:ascii="Tahoma" w:hAnsi="Tahoma" w:cs="Tahoma"/>
          <w:sz w:val="20"/>
        </w:rPr>
        <w:t>,</w:t>
      </w:r>
      <w:r w:rsidRPr="00D31186">
        <w:rPr>
          <w:rFonts w:ascii="Tahoma" w:hAnsi="Tahoma" w:cs="Tahoma"/>
          <w:sz w:val="20"/>
        </w:rPr>
        <w:t xml:space="preserve"> </w:t>
      </w:r>
      <w:r w:rsidR="005D3A43">
        <w:rPr>
          <w:rFonts w:ascii="Tahoma" w:hAnsi="Tahoma" w:cs="Tahoma"/>
          <w:sz w:val="20"/>
        </w:rPr>
        <w:t>avaliando</w:t>
      </w:r>
      <w:r w:rsidRPr="00D31186">
        <w:rPr>
          <w:rFonts w:ascii="Tahoma" w:hAnsi="Tahoma" w:cs="Tahoma"/>
          <w:sz w:val="20"/>
        </w:rPr>
        <w:t xml:space="preserve"> o retorno dos ativos </w:t>
      </w:r>
      <w:r w:rsidR="005D3A43">
        <w:rPr>
          <w:rFonts w:ascii="Tahoma" w:hAnsi="Tahoma" w:cs="Tahoma"/>
          <w:sz w:val="20"/>
        </w:rPr>
        <w:t>à</w:t>
      </w:r>
      <w:r w:rsidRPr="00D31186">
        <w:rPr>
          <w:rFonts w:ascii="Tahoma" w:hAnsi="Tahoma" w:cs="Tahoma"/>
          <w:sz w:val="20"/>
        </w:rPr>
        <w:t xml:space="preserve"> meta atuarial. </w:t>
      </w:r>
      <w:r w:rsidR="005D3A43">
        <w:rPr>
          <w:rFonts w:ascii="Tahoma" w:hAnsi="Tahoma" w:cs="Tahoma"/>
          <w:sz w:val="20"/>
        </w:rPr>
        <w:t>Essas</w:t>
      </w:r>
      <w:r w:rsidRPr="00D31186">
        <w:rPr>
          <w:rFonts w:ascii="Tahoma" w:hAnsi="Tahoma" w:cs="Tahoma"/>
          <w:sz w:val="20"/>
        </w:rPr>
        <w:t xml:space="preserve"> modalidades de risco e a forma de acompanhamento </w:t>
      </w:r>
      <w:r w:rsidR="005D3A43">
        <w:rPr>
          <w:rFonts w:ascii="Tahoma" w:hAnsi="Tahoma" w:cs="Tahoma"/>
          <w:sz w:val="20"/>
        </w:rPr>
        <w:t xml:space="preserve">são essenciais para </w:t>
      </w:r>
      <w:r w:rsidRPr="00D31186">
        <w:rPr>
          <w:rFonts w:ascii="Tahoma" w:hAnsi="Tahoma" w:cs="Tahoma"/>
          <w:sz w:val="20"/>
        </w:rPr>
        <w:t>o bom desempenho deste planejamento</w:t>
      </w:r>
      <w:r w:rsidR="00465C63" w:rsidRPr="00D31186">
        <w:rPr>
          <w:rFonts w:ascii="Tahoma" w:hAnsi="Tahoma" w:cs="Tahoma"/>
          <w:sz w:val="20"/>
        </w:rPr>
        <w:t xml:space="preserve">. </w:t>
      </w:r>
    </w:p>
    <w:p w14:paraId="28777BD5" w14:textId="70B7AB5C" w:rsidR="00465C63" w:rsidRPr="00E8601E" w:rsidRDefault="00465C63" w:rsidP="00AD12FB">
      <w:pPr>
        <w:spacing w:after="120"/>
        <w:ind w:firstLine="709"/>
        <w:jc w:val="both"/>
        <w:rPr>
          <w:rFonts w:ascii="Tahoma" w:hAnsi="Tahoma" w:cs="Tahoma"/>
          <w:sz w:val="20"/>
        </w:rPr>
      </w:pPr>
      <w:r w:rsidRPr="00D31186">
        <w:rPr>
          <w:rFonts w:ascii="Tahoma" w:hAnsi="Tahoma" w:cs="Tahoma"/>
          <w:sz w:val="20"/>
        </w:rPr>
        <w:t>É relevante mencionar que</w:t>
      </w:r>
      <w:r w:rsidR="00621CC7" w:rsidRPr="00D31186">
        <w:rPr>
          <w:rFonts w:ascii="Tahoma" w:hAnsi="Tahoma" w:cs="Tahoma"/>
          <w:sz w:val="20"/>
        </w:rPr>
        <w:t>,</w:t>
      </w:r>
      <w:r w:rsidRPr="00D31186">
        <w:rPr>
          <w:rFonts w:ascii="Tahoma" w:hAnsi="Tahoma" w:cs="Tahoma"/>
          <w:sz w:val="20"/>
        </w:rPr>
        <w:t xml:space="preserve"> qualquer aplicação financeira está sujeita à incidência de fatores de risco que podem afetar </w:t>
      </w:r>
      <w:r w:rsidR="005731B7" w:rsidRPr="00D31186">
        <w:rPr>
          <w:rFonts w:ascii="Tahoma" w:hAnsi="Tahoma" w:cs="Tahoma"/>
          <w:sz w:val="20"/>
        </w:rPr>
        <w:t>de forma negativa</w:t>
      </w:r>
      <w:r w:rsidRPr="00D31186">
        <w:rPr>
          <w:rFonts w:ascii="Tahoma" w:hAnsi="Tahoma" w:cs="Tahoma"/>
          <w:sz w:val="20"/>
        </w:rPr>
        <w:t xml:space="preserve"> o seu retorno, entre eles:</w:t>
      </w:r>
    </w:p>
    <w:p w14:paraId="0AD6653C" w14:textId="3E89BB58" w:rsidR="00465C63" w:rsidRPr="00D17F5E" w:rsidRDefault="00465C63" w:rsidP="00AD12FB">
      <w:pPr>
        <w:pStyle w:val="PargrafodaLista"/>
        <w:numPr>
          <w:ilvl w:val="0"/>
          <w:numId w:val="18"/>
        </w:numPr>
        <w:spacing w:after="120"/>
        <w:ind w:left="284" w:firstLine="709"/>
        <w:jc w:val="both"/>
        <w:rPr>
          <w:rFonts w:ascii="Tahoma" w:hAnsi="Tahoma" w:cs="Tahoma"/>
          <w:sz w:val="20"/>
        </w:rPr>
      </w:pPr>
      <w:r w:rsidRPr="00D17F5E">
        <w:rPr>
          <w:rFonts w:ascii="Tahoma" w:hAnsi="Tahoma" w:cs="Tahoma"/>
          <w:sz w:val="20"/>
        </w:rPr>
        <w:t xml:space="preserve">Risco de Mercado – </w:t>
      </w:r>
      <w:r w:rsidRPr="002F0916">
        <w:rPr>
          <w:rFonts w:ascii="Tahoma" w:hAnsi="Tahoma" w:cs="Tahoma"/>
          <w:sz w:val="16"/>
          <w:szCs w:val="18"/>
        </w:rPr>
        <w:t>é o risco inerente a todas as modalidades de aplicações financeiras disponíveis no mercado financeiro; corresponde à incerteza em relação ao resultado de um investimento financeiro ou de uma carteira de investimento, em decorrência de mudanças futuras nas condições de mercado. É o risco de variações, oscilações nas taxas e preços de mercado, tais como taxa de juros, preços de ações e outros índices. É ligado às oscilações do mercado financeiro</w:t>
      </w:r>
      <w:r w:rsidR="00D17F5E" w:rsidRPr="002F0916">
        <w:rPr>
          <w:rFonts w:ascii="Tahoma" w:hAnsi="Tahoma" w:cs="Tahoma"/>
          <w:sz w:val="16"/>
          <w:szCs w:val="18"/>
        </w:rPr>
        <w:t>;</w:t>
      </w:r>
    </w:p>
    <w:p w14:paraId="5DF673E1" w14:textId="53DE3121" w:rsidR="00465C63" w:rsidRPr="00D17F5E" w:rsidRDefault="00465C63" w:rsidP="00AD12FB">
      <w:pPr>
        <w:pStyle w:val="PargrafodaLista"/>
        <w:numPr>
          <w:ilvl w:val="0"/>
          <w:numId w:val="18"/>
        </w:numPr>
        <w:spacing w:after="120"/>
        <w:ind w:left="284" w:firstLine="709"/>
        <w:jc w:val="both"/>
        <w:rPr>
          <w:rFonts w:ascii="Tahoma" w:hAnsi="Tahoma" w:cs="Tahoma"/>
          <w:sz w:val="20"/>
        </w:rPr>
      </w:pPr>
      <w:r w:rsidRPr="00D17F5E">
        <w:rPr>
          <w:rFonts w:ascii="Tahoma" w:hAnsi="Tahoma" w:cs="Tahoma"/>
          <w:sz w:val="20"/>
        </w:rPr>
        <w:t xml:space="preserve">Risco de Crédito - </w:t>
      </w:r>
      <w:r w:rsidRPr="002F0916">
        <w:rPr>
          <w:rFonts w:ascii="Tahoma" w:hAnsi="Tahoma" w:cs="Tahoma"/>
          <w:sz w:val="16"/>
          <w:szCs w:val="18"/>
        </w:rPr>
        <w:t>também conhecido como risco institucional ou de contraparte, é aquele em que há a possibilidade de o retorno de investimento não ser honrado pela instituição que emitiu determinado título, na data e nas condições negociadas e contratadas</w:t>
      </w:r>
      <w:r w:rsidRPr="00D17F5E">
        <w:rPr>
          <w:rFonts w:ascii="Tahoma" w:hAnsi="Tahoma" w:cs="Tahoma"/>
          <w:sz w:val="18"/>
          <w:szCs w:val="20"/>
        </w:rPr>
        <w:t>;</w:t>
      </w:r>
    </w:p>
    <w:p w14:paraId="52C86AB6" w14:textId="24EC6F77" w:rsidR="00465C63" w:rsidRPr="00D31186" w:rsidRDefault="00465C63" w:rsidP="00AD12FB">
      <w:pPr>
        <w:pStyle w:val="PargrafodaLista"/>
        <w:numPr>
          <w:ilvl w:val="0"/>
          <w:numId w:val="18"/>
        </w:numPr>
        <w:spacing w:after="120"/>
        <w:ind w:left="284" w:firstLine="709"/>
        <w:jc w:val="both"/>
        <w:rPr>
          <w:rFonts w:ascii="Tahoma" w:hAnsi="Tahoma" w:cs="Tahoma"/>
          <w:sz w:val="20"/>
        </w:rPr>
      </w:pPr>
      <w:r w:rsidRPr="00D31186">
        <w:rPr>
          <w:rFonts w:ascii="Tahoma" w:hAnsi="Tahoma" w:cs="Tahoma"/>
          <w:sz w:val="20"/>
        </w:rPr>
        <w:t xml:space="preserve">Risco de Liquidez - </w:t>
      </w:r>
      <w:r w:rsidRPr="00D31186">
        <w:rPr>
          <w:rFonts w:ascii="Tahoma" w:hAnsi="Tahoma" w:cs="Tahoma"/>
          <w:sz w:val="16"/>
          <w:szCs w:val="18"/>
        </w:rPr>
        <w:t>surge da dificuldade em se conseguir encontrar compradores potenciais de um determinado ativo no momento e no preço desejado. Ocorre quando um ativo está com baixo volume de negócios e apresenta grandes diferenças entre o preço que o comprador está disposto a pagar (oferta de compra) e aquele que o vendedor gostaria de vender (oferta de venda). Quando é necessário vender algum ativo num mercado ilíquido, tende a ser difícil conseguir realizar a venda sem sacrificar o preço do ativo negociado</w:t>
      </w:r>
      <w:r w:rsidR="00D17F5E" w:rsidRPr="00D31186">
        <w:rPr>
          <w:rFonts w:ascii="Tahoma" w:hAnsi="Tahoma" w:cs="Tahoma"/>
          <w:sz w:val="18"/>
          <w:szCs w:val="20"/>
        </w:rPr>
        <w:t>;</w:t>
      </w:r>
    </w:p>
    <w:p w14:paraId="2BE56372" w14:textId="7E35B4F3" w:rsidR="000973AA" w:rsidRPr="00D31186" w:rsidRDefault="000973AA" w:rsidP="00AD12FB">
      <w:pPr>
        <w:pStyle w:val="PargrafodaLista"/>
        <w:numPr>
          <w:ilvl w:val="0"/>
          <w:numId w:val="18"/>
        </w:numPr>
        <w:spacing w:after="120"/>
        <w:ind w:left="284" w:firstLine="709"/>
        <w:jc w:val="both"/>
        <w:rPr>
          <w:rFonts w:ascii="Tahoma" w:hAnsi="Tahoma" w:cs="Tahoma"/>
          <w:sz w:val="20"/>
        </w:rPr>
      </w:pPr>
      <w:r w:rsidRPr="00D31186">
        <w:rPr>
          <w:rFonts w:ascii="Tahoma" w:hAnsi="Tahoma" w:cs="Tahoma"/>
          <w:sz w:val="20"/>
        </w:rPr>
        <w:t xml:space="preserve">Risco de Descasamento - </w:t>
      </w:r>
      <w:r w:rsidRPr="00D31186">
        <w:rPr>
          <w:rFonts w:ascii="Tahoma" w:hAnsi="Tahoma" w:cs="Tahoma"/>
          <w:sz w:val="16"/>
          <w:szCs w:val="18"/>
        </w:rPr>
        <w:t xml:space="preserve">Para que os retornos esperados se concretizem é necessário o acompanhamento do desempenho dos fundos selecionados. Esse acompanhamento é feito através da medição dos resultados, utilizando vários indicadores de risco que determinam o grau de divergência entre o retorno dos investimentos do </w:t>
      </w:r>
      <w:r w:rsidR="00406B8E" w:rsidRPr="00D31186">
        <w:rPr>
          <w:rFonts w:ascii="Tahoma" w:hAnsi="Tahoma" w:cs="Tahoma"/>
          <w:b/>
          <w:bCs/>
          <w:sz w:val="16"/>
          <w:szCs w:val="18"/>
        </w:rPr>
        <w:fldChar w:fldCharType="begin"/>
      </w:r>
      <w:r w:rsidR="00406B8E" w:rsidRPr="00D31186">
        <w:rPr>
          <w:rFonts w:ascii="Tahoma" w:hAnsi="Tahoma" w:cs="Tahoma"/>
          <w:b/>
          <w:bCs/>
          <w:sz w:val="16"/>
          <w:szCs w:val="18"/>
        </w:rPr>
        <w:instrText xml:space="preserve"> MERGEFIELD TP </w:instrText>
      </w:r>
      <w:r w:rsidR="00406B8E" w:rsidRPr="00D31186">
        <w:rPr>
          <w:rFonts w:ascii="Tahoma" w:hAnsi="Tahoma" w:cs="Tahoma"/>
          <w:b/>
          <w:bCs/>
          <w:sz w:val="16"/>
          <w:szCs w:val="18"/>
        </w:rPr>
        <w:fldChar w:fldCharType="separate"/>
      </w:r>
      <w:r w:rsidR="00A14265" w:rsidRPr="00BC514D">
        <w:rPr>
          <w:rFonts w:ascii="Tahoma" w:hAnsi="Tahoma" w:cs="Tahoma"/>
          <w:b/>
          <w:bCs/>
          <w:noProof/>
          <w:sz w:val="16"/>
          <w:szCs w:val="18"/>
        </w:rPr>
        <w:t>FAPETRI</w:t>
      </w:r>
      <w:r w:rsidR="00406B8E" w:rsidRPr="00D31186">
        <w:rPr>
          <w:rFonts w:ascii="Tahoma" w:hAnsi="Tahoma" w:cs="Tahoma"/>
          <w:b/>
          <w:bCs/>
          <w:sz w:val="16"/>
          <w:szCs w:val="18"/>
        </w:rPr>
        <w:fldChar w:fldCharType="end"/>
      </w:r>
      <w:r w:rsidRPr="00D31186">
        <w:rPr>
          <w:rFonts w:ascii="Tahoma" w:hAnsi="Tahoma" w:cs="Tahoma"/>
          <w:sz w:val="16"/>
          <w:szCs w:val="18"/>
        </w:rPr>
        <w:t xml:space="preserve"> e a variação da meta atuarial. Os desvios detectados deverão ser informados, a fim de serem avaliad</w:t>
      </w:r>
      <w:r w:rsidR="00621CC7" w:rsidRPr="00D31186">
        <w:rPr>
          <w:rFonts w:ascii="Tahoma" w:hAnsi="Tahoma" w:cs="Tahoma"/>
          <w:sz w:val="16"/>
          <w:szCs w:val="18"/>
        </w:rPr>
        <w:t>o</w:t>
      </w:r>
      <w:r w:rsidRPr="00D31186">
        <w:rPr>
          <w:rFonts w:ascii="Tahoma" w:hAnsi="Tahoma" w:cs="Tahoma"/>
          <w:sz w:val="16"/>
          <w:szCs w:val="18"/>
        </w:rPr>
        <w:t>s e corrigid</w:t>
      </w:r>
      <w:r w:rsidR="00621CC7" w:rsidRPr="00D31186">
        <w:rPr>
          <w:rFonts w:ascii="Tahoma" w:hAnsi="Tahoma" w:cs="Tahoma"/>
          <w:sz w:val="16"/>
          <w:szCs w:val="18"/>
        </w:rPr>
        <w:t>o</w:t>
      </w:r>
      <w:r w:rsidRPr="00D31186">
        <w:rPr>
          <w:rFonts w:ascii="Tahoma" w:hAnsi="Tahoma" w:cs="Tahoma"/>
          <w:sz w:val="16"/>
          <w:szCs w:val="18"/>
        </w:rPr>
        <w:t>s pel</w:t>
      </w:r>
      <w:r w:rsidR="00406B8E" w:rsidRPr="00D31186">
        <w:rPr>
          <w:rFonts w:ascii="Tahoma" w:hAnsi="Tahoma" w:cs="Tahoma"/>
          <w:sz w:val="16"/>
          <w:szCs w:val="18"/>
        </w:rPr>
        <w:t>os gestores</w:t>
      </w:r>
      <w:r w:rsidR="00D17F5E" w:rsidRPr="00D31186">
        <w:rPr>
          <w:rFonts w:ascii="Tahoma" w:hAnsi="Tahoma" w:cs="Tahoma"/>
          <w:sz w:val="18"/>
          <w:szCs w:val="20"/>
        </w:rPr>
        <w:t>;</w:t>
      </w:r>
    </w:p>
    <w:p w14:paraId="1A24DA0B" w14:textId="487705B3" w:rsidR="000973AA" w:rsidRPr="00347939" w:rsidRDefault="000973AA" w:rsidP="00AD12FB">
      <w:pPr>
        <w:pStyle w:val="PargrafodaLista"/>
        <w:numPr>
          <w:ilvl w:val="0"/>
          <w:numId w:val="18"/>
        </w:numPr>
        <w:spacing w:after="120"/>
        <w:ind w:left="284" w:firstLine="709"/>
        <w:jc w:val="both"/>
        <w:rPr>
          <w:rFonts w:ascii="Tahoma" w:hAnsi="Tahoma" w:cs="Tahoma"/>
          <w:sz w:val="20"/>
        </w:rPr>
      </w:pPr>
      <w:r w:rsidRPr="00D17F5E">
        <w:rPr>
          <w:rFonts w:ascii="Tahoma" w:hAnsi="Tahoma" w:cs="Tahoma"/>
          <w:sz w:val="20"/>
        </w:rPr>
        <w:t xml:space="preserve">Risco de </w:t>
      </w:r>
      <w:r w:rsidR="00406B8E" w:rsidRPr="00D17F5E">
        <w:rPr>
          <w:rFonts w:ascii="Tahoma" w:hAnsi="Tahoma" w:cs="Tahoma"/>
          <w:sz w:val="20"/>
        </w:rPr>
        <w:t>Imagem</w:t>
      </w:r>
      <w:r w:rsidR="00D17F5E">
        <w:rPr>
          <w:rFonts w:ascii="Tahoma" w:hAnsi="Tahoma" w:cs="Tahoma"/>
          <w:sz w:val="20"/>
        </w:rPr>
        <w:t xml:space="preserve"> e Reputação</w:t>
      </w:r>
      <w:r w:rsidRPr="00D17F5E">
        <w:rPr>
          <w:rFonts w:ascii="Tahoma" w:hAnsi="Tahoma" w:cs="Tahoma"/>
          <w:sz w:val="20"/>
        </w:rPr>
        <w:t xml:space="preserve"> </w:t>
      </w:r>
      <w:r w:rsidR="00D17F5E">
        <w:rPr>
          <w:rFonts w:ascii="Tahoma" w:hAnsi="Tahoma" w:cs="Tahoma"/>
          <w:sz w:val="20"/>
        </w:rPr>
        <w:t>–</w:t>
      </w:r>
      <w:r w:rsidRPr="00D17F5E">
        <w:rPr>
          <w:rFonts w:ascii="Tahoma" w:hAnsi="Tahoma" w:cs="Tahoma"/>
          <w:sz w:val="20"/>
        </w:rPr>
        <w:t xml:space="preserve"> </w:t>
      </w:r>
      <w:r w:rsidR="00D17F5E" w:rsidRPr="002F0916">
        <w:rPr>
          <w:rFonts w:ascii="Tahoma" w:hAnsi="Tahoma" w:cs="Tahoma"/>
          <w:sz w:val="16"/>
          <w:szCs w:val="18"/>
        </w:rPr>
        <w:t>Pode ser representado por todos os eventos internos e externos com capacidade de danificar a percepção do RPPS perante colaboradores, servidores e o mercado como um todo. Assim o</w:t>
      </w:r>
      <w:r w:rsidR="00406B8E" w:rsidRPr="002F0916">
        <w:rPr>
          <w:rFonts w:ascii="Tahoma" w:hAnsi="Tahoma" w:cs="Tahoma"/>
          <w:sz w:val="16"/>
          <w:szCs w:val="18"/>
        </w:rPr>
        <w:t xml:space="preserve"> </w:t>
      </w:r>
      <w:r w:rsidR="00406B8E" w:rsidRPr="002F0916">
        <w:rPr>
          <w:rFonts w:ascii="Tahoma" w:hAnsi="Tahoma" w:cs="Tahoma"/>
          <w:b/>
          <w:bCs/>
          <w:sz w:val="16"/>
          <w:szCs w:val="18"/>
        </w:rPr>
        <w:fldChar w:fldCharType="begin"/>
      </w:r>
      <w:r w:rsidR="00406B8E" w:rsidRPr="002F0916">
        <w:rPr>
          <w:rFonts w:ascii="Tahoma" w:hAnsi="Tahoma" w:cs="Tahoma"/>
          <w:b/>
          <w:bCs/>
          <w:sz w:val="16"/>
          <w:szCs w:val="18"/>
        </w:rPr>
        <w:instrText xml:space="preserve"> MERGEFIELD CONSELHO </w:instrText>
      </w:r>
      <w:r w:rsidR="00406B8E" w:rsidRPr="002F0916">
        <w:rPr>
          <w:rFonts w:ascii="Tahoma" w:hAnsi="Tahoma" w:cs="Tahoma"/>
          <w:b/>
          <w:bCs/>
          <w:sz w:val="16"/>
          <w:szCs w:val="18"/>
        </w:rPr>
        <w:fldChar w:fldCharType="separate"/>
      </w:r>
      <w:r w:rsidR="00A14265" w:rsidRPr="00BC514D">
        <w:rPr>
          <w:rFonts w:ascii="Tahoma" w:hAnsi="Tahoma" w:cs="Tahoma"/>
          <w:b/>
          <w:bCs/>
          <w:noProof/>
          <w:sz w:val="16"/>
          <w:szCs w:val="18"/>
        </w:rPr>
        <w:t>CONSELHO DE ADMINISTRAÇÃO DO FAPETRI</w:t>
      </w:r>
      <w:r w:rsidR="00406B8E" w:rsidRPr="002F0916">
        <w:rPr>
          <w:rFonts w:ascii="Tahoma" w:hAnsi="Tahoma" w:cs="Tahoma"/>
          <w:b/>
          <w:bCs/>
          <w:sz w:val="16"/>
          <w:szCs w:val="18"/>
        </w:rPr>
        <w:fldChar w:fldCharType="end"/>
      </w:r>
      <w:r w:rsidR="00406B8E" w:rsidRPr="002F0916">
        <w:rPr>
          <w:rFonts w:ascii="Tahoma" w:hAnsi="Tahoma" w:cs="Tahoma"/>
          <w:sz w:val="16"/>
          <w:szCs w:val="18"/>
        </w:rPr>
        <w:t xml:space="preserve"> e o </w:t>
      </w:r>
      <w:r w:rsidR="00406B8E" w:rsidRPr="002F0916">
        <w:rPr>
          <w:rFonts w:ascii="Tahoma" w:hAnsi="Tahoma" w:cs="Tahoma"/>
          <w:b/>
          <w:bCs/>
          <w:sz w:val="16"/>
          <w:szCs w:val="18"/>
        </w:rPr>
        <w:fldChar w:fldCharType="begin"/>
      </w:r>
      <w:r w:rsidR="00406B8E" w:rsidRPr="002F0916">
        <w:rPr>
          <w:rFonts w:ascii="Tahoma" w:hAnsi="Tahoma" w:cs="Tahoma"/>
          <w:b/>
          <w:bCs/>
          <w:sz w:val="16"/>
          <w:szCs w:val="18"/>
        </w:rPr>
        <w:instrText xml:space="preserve"> MERGEFIELD COMITÊ </w:instrText>
      </w:r>
      <w:r w:rsidR="00406B8E" w:rsidRPr="002F0916">
        <w:rPr>
          <w:rFonts w:ascii="Tahoma" w:hAnsi="Tahoma" w:cs="Tahoma"/>
          <w:b/>
          <w:bCs/>
          <w:sz w:val="16"/>
          <w:szCs w:val="18"/>
        </w:rPr>
        <w:fldChar w:fldCharType="separate"/>
      </w:r>
      <w:r w:rsidR="00A14265" w:rsidRPr="00BC514D">
        <w:rPr>
          <w:rFonts w:ascii="Tahoma" w:hAnsi="Tahoma" w:cs="Tahoma"/>
          <w:b/>
          <w:bCs/>
          <w:noProof/>
          <w:sz w:val="16"/>
          <w:szCs w:val="18"/>
        </w:rPr>
        <w:t>COMITÊ DE INVESTIMENTOS</w:t>
      </w:r>
      <w:r w:rsidR="00406B8E" w:rsidRPr="002F0916">
        <w:rPr>
          <w:rFonts w:ascii="Tahoma" w:hAnsi="Tahoma" w:cs="Tahoma"/>
          <w:b/>
          <w:bCs/>
          <w:sz w:val="16"/>
          <w:szCs w:val="18"/>
        </w:rPr>
        <w:fldChar w:fldCharType="end"/>
      </w:r>
      <w:r w:rsidR="00406B8E" w:rsidRPr="002F0916">
        <w:rPr>
          <w:rFonts w:ascii="Tahoma" w:hAnsi="Tahoma" w:cs="Tahoma"/>
          <w:sz w:val="16"/>
          <w:szCs w:val="18"/>
        </w:rPr>
        <w:t xml:space="preserve"> do </w:t>
      </w:r>
      <w:r w:rsidR="00406B8E" w:rsidRPr="002F0916">
        <w:rPr>
          <w:rFonts w:ascii="Tahoma" w:hAnsi="Tahoma" w:cs="Tahoma"/>
          <w:b/>
          <w:bCs/>
          <w:sz w:val="16"/>
          <w:szCs w:val="18"/>
        </w:rPr>
        <w:fldChar w:fldCharType="begin"/>
      </w:r>
      <w:r w:rsidR="00406B8E" w:rsidRPr="002F0916">
        <w:rPr>
          <w:rFonts w:ascii="Tahoma" w:hAnsi="Tahoma" w:cs="Tahoma"/>
          <w:b/>
          <w:bCs/>
          <w:sz w:val="16"/>
          <w:szCs w:val="18"/>
        </w:rPr>
        <w:instrText xml:space="preserve"> MERGEFIELD TP </w:instrText>
      </w:r>
      <w:r w:rsidR="00406B8E" w:rsidRPr="002F0916">
        <w:rPr>
          <w:rFonts w:ascii="Tahoma" w:hAnsi="Tahoma" w:cs="Tahoma"/>
          <w:b/>
          <w:bCs/>
          <w:sz w:val="16"/>
          <w:szCs w:val="18"/>
        </w:rPr>
        <w:fldChar w:fldCharType="separate"/>
      </w:r>
      <w:r w:rsidR="00A14265" w:rsidRPr="00BC514D">
        <w:rPr>
          <w:rFonts w:ascii="Tahoma" w:hAnsi="Tahoma" w:cs="Tahoma"/>
          <w:b/>
          <w:bCs/>
          <w:noProof/>
          <w:sz w:val="16"/>
          <w:szCs w:val="18"/>
        </w:rPr>
        <w:t>FAPETRI</w:t>
      </w:r>
      <w:r w:rsidR="00406B8E" w:rsidRPr="002F0916">
        <w:rPr>
          <w:rFonts w:ascii="Tahoma" w:hAnsi="Tahoma" w:cs="Tahoma"/>
          <w:b/>
          <w:bCs/>
          <w:sz w:val="16"/>
          <w:szCs w:val="18"/>
        </w:rPr>
        <w:fldChar w:fldCharType="end"/>
      </w:r>
      <w:r w:rsidR="00406B8E" w:rsidRPr="002F0916">
        <w:rPr>
          <w:rFonts w:ascii="Tahoma" w:hAnsi="Tahoma" w:cs="Tahoma"/>
          <w:sz w:val="16"/>
          <w:szCs w:val="18"/>
        </w:rPr>
        <w:t xml:space="preserve"> observarão, durante o credenciamento das gestoras, administradoras, distribuidoras e instituição financeiras e durante todo o período subsequente, se estas oferecem risco de imagem ao </w:t>
      </w:r>
      <w:r w:rsidR="00406B8E" w:rsidRPr="002F0916">
        <w:rPr>
          <w:rFonts w:ascii="Tahoma" w:hAnsi="Tahoma" w:cs="Tahoma"/>
          <w:b/>
          <w:bCs/>
          <w:sz w:val="16"/>
          <w:szCs w:val="18"/>
        </w:rPr>
        <w:fldChar w:fldCharType="begin"/>
      </w:r>
      <w:r w:rsidR="00406B8E" w:rsidRPr="002F0916">
        <w:rPr>
          <w:rFonts w:ascii="Tahoma" w:hAnsi="Tahoma" w:cs="Tahoma"/>
          <w:b/>
          <w:bCs/>
          <w:sz w:val="16"/>
          <w:szCs w:val="18"/>
        </w:rPr>
        <w:instrText xml:space="preserve"> MERGEFIELD TP </w:instrText>
      </w:r>
      <w:r w:rsidR="00406B8E" w:rsidRPr="002F0916">
        <w:rPr>
          <w:rFonts w:ascii="Tahoma" w:hAnsi="Tahoma" w:cs="Tahoma"/>
          <w:b/>
          <w:bCs/>
          <w:sz w:val="16"/>
          <w:szCs w:val="18"/>
        </w:rPr>
        <w:fldChar w:fldCharType="separate"/>
      </w:r>
      <w:r w:rsidR="00A14265" w:rsidRPr="00BC514D">
        <w:rPr>
          <w:rFonts w:ascii="Tahoma" w:hAnsi="Tahoma" w:cs="Tahoma"/>
          <w:b/>
          <w:bCs/>
          <w:noProof/>
          <w:sz w:val="16"/>
          <w:szCs w:val="18"/>
        </w:rPr>
        <w:t>FAPETRI</w:t>
      </w:r>
      <w:r w:rsidR="00406B8E" w:rsidRPr="002F0916">
        <w:rPr>
          <w:rFonts w:ascii="Tahoma" w:hAnsi="Tahoma" w:cs="Tahoma"/>
          <w:b/>
          <w:bCs/>
          <w:sz w:val="16"/>
          <w:szCs w:val="18"/>
        </w:rPr>
        <w:fldChar w:fldCharType="end"/>
      </w:r>
      <w:r w:rsidR="00406B8E" w:rsidRPr="002F0916">
        <w:rPr>
          <w:rFonts w:ascii="Tahoma" w:hAnsi="Tahoma" w:cs="Tahoma"/>
          <w:sz w:val="16"/>
          <w:szCs w:val="18"/>
        </w:rPr>
        <w:t>. As mesmas não poderão apresentar nenhum fato que as desabone</w:t>
      </w:r>
      <w:r w:rsidR="00406B8E" w:rsidRPr="00D17F5E">
        <w:rPr>
          <w:rFonts w:ascii="Tahoma" w:hAnsi="Tahoma" w:cs="Tahoma"/>
          <w:sz w:val="18"/>
          <w:szCs w:val="20"/>
        </w:rPr>
        <w:t>.</w:t>
      </w:r>
      <w:r w:rsidR="00406B8E" w:rsidRPr="00D17F5E">
        <w:rPr>
          <w:rFonts w:ascii="Tahoma" w:hAnsi="Tahoma" w:cs="Tahoma"/>
          <w:sz w:val="18"/>
          <w:szCs w:val="20"/>
        </w:rPr>
        <w:cr/>
      </w:r>
    </w:p>
    <w:p w14:paraId="1507A1DA" w14:textId="07238B56" w:rsidR="00347939" w:rsidRPr="00E8601E" w:rsidRDefault="00347939" w:rsidP="00EC5FD6">
      <w:pPr>
        <w:pStyle w:val="Ttulo2"/>
        <w:spacing w:after="120"/>
        <w:rPr>
          <w:rFonts w:ascii="Tahoma" w:eastAsiaTheme="minorEastAsia" w:hAnsi="Tahoma" w:cs="Tahoma"/>
          <w:b/>
          <w:color w:val="auto"/>
          <w:sz w:val="20"/>
          <w:szCs w:val="22"/>
        </w:rPr>
      </w:pPr>
      <w:bookmarkStart w:id="29" w:name="_Toc181542575"/>
      <w:r w:rsidRPr="00BE6FCD">
        <w:rPr>
          <w:rFonts w:ascii="Tahoma" w:eastAsiaTheme="minorEastAsia" w:hAnsi="Tahoma" w:cs="Tahoma"/>
          <w:b/>
          <w:color w:val="auto"/>
          <w:sz w:val="20"/>
          <w:szCs w:val="22"/>
        </w:rPr>
        <w:t xml:space="preserve">Perfil de </w:t>
      </w:r>
      <w:r w:rsidR="00621CC7" w:rsidRPr="00BE6FCD">
        <w:rPr>
          <w:rFonts w:ascii="Tahoma" w:eastAsiaTheme="minorEastAsia" w:hAnsi="Tahoma" w:cs="Tahoma"/>
          <w:b/>
          <w:color w:val="auto"/>
          <w:sz w:val="20"/>
          <w:szCs w:val="22"/>
        </w:rPr>
        <w:t>I</w:t>
      </w:r>
      <w:r w:rsidR="00AC2050" w:rsidRPr="00BE6FCD">
        <w:rPr>
          <w:rFonts w:ascii="Tahoma" w:eastAsiaTheme="minorEastAsia" w:hAnsi="Tahoma" w:cs="Tahoma"/>
          <w:b/>
          <w:color w:val="auto"/>
          <w:sz w:val="20"/>
          <w:szCs w:val="22"/>
        </w:rPr>
        <w:t>nvestidor</w:t>
      </w:r>
      <w:r w:rsidRPr="00BE6FCD">
        <w:rPr>
          <w:rFonts w:ascii="Tahoma" w:eastAsiaTheme="minorEastAsia" w:hAnsi="Tahoma" w:cs="Tahoma"/>
          <w:b/>
          <w:color w:val="auto"/>
          <w:sz w:val="20"/>
          <w:szCs w:val="22"/>
        </w:rPr>
        <w:t xml:space="preserve"> do RPPS</w:t>
      </w:r>
      <w:bookmarkEnd w:id="29"/>
    </w:p>
    <w:p w14:paraId="16E5BFF8" w14:textId="5183DD79" w:rsidR="00347939" w:rsidRDefault="00347939" w:rsidP="00AD12FB">
      <w:pPr>
        <w:spacing w:after="120"/>
        <w:ind w:firstLine="709"/>
        <w:jc w:val="both"/>
        <w:rPr>
          <w:rFonts w:ascii="Tahoma" w:hAnsi="Tahoma" w:cs="Tahoma"/>
          <w:sz w:val="20"/>
        </w:rPr>
      </w:pPr>
    </w:p>
    <w:p w14:paraId="4AD45EB9" w14:textId="372A4B5D" w:rsidR="00347939" w:rsidRDefault="00347939" w:rsidP="00AD12FB">
      <w:pPr>
        <w:spacing w:after="120"/>
        <w:ind w:firstLine="709"/>
        <w:jc w:val="both"/>
        <w:rPr>
          <w:rFonts w:ascii="Tahoma" w:hAnsi="Tahoma" w:cs="Tahoma"/>
          <w:sz w:val="20"/>
        </w:rPr>
      </w:pPr>
      <w:r w:rsidRPr="00347939">
        <w:rPr>
          <w:rFonts w:ascii="Tahoma" w:hAnsi="Tahoma" w:cs="Tahoma"/>
          <w:sz w:val="20"/>
        </w:rPr>
        <w:t xml:space="preserve">O perfil do investidor pode ser definido como uma categorização que cada </w:t>
      </w:r>
      <w:r>
        <w:rPr>
          <w:rFonts w:ascii="Tahoma" w:hAnsi="Tahoma" w:cs="Tahoma"/>
          <w:sz w:val="20"/>
        </w:rPr>
        <w:t>RPPS</w:t>
      </w:r>
      <w:r w:rsidRPr="00347939">
        <w:rPr>
          <w:rFonts w:ascii="Tahoma" w:hAnsi="Tahoma" w:cs="Tahoma"/>
          <w:sz w:val="20"/>
        </w:rPr>
        <w:t xml:space="preserve"> recebe ao aplicar seu</w:t>
      </w:r>
      <w:r>
        <w:rPr>
          <w:rFonts w:ascii="Tahoma" w:hAnsi="Tahoma" w:cs="Tahoma"/>
          <w:sz w:val="20"/>
        </w:rPr>
        <w:t xml:space="preserve">s recursos </w:t>
      </w:r>
      <w:r w:rsidRPr="00347939">
        <w:rPr>
          <w:rFonts w:ascii="Tahoma" w:hAnsi="Tahoma" w:cs="Tahoma"/>
          <w:sz w:val="20"/>
        </w:rPr>
        <w:t>de acordo com o risco que el</w:t>
      </w:r>
      <w:r w:rsidR="00EC09AA">
        <w:rPr>
          <w:rFonts w:ascii="Tahoma" w:hAnsi="Tahoma" w:cs="Tahoma"/>
          <w:sz w:val="20"/>
        </w:rPr>
        <w:t>e</w:t>
      </w:r>
      <w:r w:rsidRPr="00347939">
        <w:rPr>
          <w:rFonts w:ascii="Tahoma" w:hAnsi="Tahoma" w:cs="Tahoma"/>
          <w:sz w:val="20"/>
        </w:rPr>
        <w:t xml:space="preserve"> está dispost</w:t>
      </w:r>
      <w:r>
        <w:rPr>
          <w:rFonts w:ascii="Tahoma" w:hAnsi="Tahoma" w:cs="Tahoma"/>
          <w:sz w:val="20"/>
        </w:rPr>
        <w:t>o</w:t>
      </w:r>
      <w:r w:rsidRPr="00347939">
        <w:rPr>
          <w:rFonts w:ascii="Tahoma" w:hAnsi="Tahoma" w:cs="Tahoma"/>
          <w:sz w:val="20"/>
        </w:rPr>
        <w:t xml:space="preserve"> a tomar com suas aplicações</w:t>
      </w:r>
      <w:r>
        <w:rPr>
          <w:rFonts w:ascii="Tahoma" w:hAnsi="Tahoma" w:cs="Tahoma"/>
          <w:sz w:val="20"/>
        </w:rPr>
        <w:t>. E</w:t>
      </w:r>
      <w:r w:rsidRPr="00347939">
        <w:rPr>
          <w:rFonts w:ascii="Tahoma" w:hAnsi="Tahoma" w:cs="Tahoma"/>
          <w:sz w:val="20"/>
        </w:rPr>
        <w:t xml:space="preserve">ssa categorização é uma exigência da CVM (Comissão de Valores Mobiliários) para que as instituições financeiras ofereçam ao </w:t>
      </w:r>
      <w:r>
        <w:rPr>
          <w:rFonts w:ascii="Tahoma" w:hAnsi="Tahoma" w:cs="Tahoma"/>
          <w:sz w:val="20"/>
        </w:rPr>
        <w:t>RPPS</w:t>
      </w:r>
      <w:r w:rsidRPr="00347939">
        <w:rPr>
          <w:rFonts w:ascii="Tahoma" w:hAnsi="Tahoma" w:cs="Tahoma"/>
          <w:sz w:val="20"/>
        </w:rPr>
        <w:t xml:space="preserve"> os investimentos que melhor se encaixem ao seu perfi</w:t>
      </w:r>
      <w:r>
        <w:rPr>
          <w:rFonts w:ascii="Tahoma" w:hAnsi="Tahoma" w:cs="Tahoma"/>
          <w:sz w:val="20"/>
        </w:rPr>
        <w:t>l</w:t>
      </w:r>
      <w:r w:rsidRPr="00347939">
        <w:rPr>
          <w:rFonts w:ascii="Tahoma" w:hAnsi="Tahoma" w:cs="Tahoma"/>
          <w:sz w:val="20"/>
        </w:rPr>
        <w:t>.</w:t>
      </w:r>
    </w:p>
    <w:p w14:paraId="28A84B38" w14:textId="3414809D" w:rsidR="00347939" w:rsidRDefault="00347939" w:rsidP="00AD12FB">
      <w:pPr>
        <w:spacing w:after="120"/>
        <w:ind w:firstLine="709"/>
        <w:jc w:val="both"/>
        <w:rPr>
          <w:rFonts w:ascii="Tahoma" w:hAnsi="Tahoma" w:cs="Tahoma"/>
          <w:sz w:val="20"/>
        </w:rPr>
      </w:pPr>
      <w:r>
        <w:rPr>
          <w:rFonts w:ascii="Tahoma" w:hAnsi="Tahoma" w:cs="Tahoma"/>
          <w:sz w:val="20"/>
        </w:rPr>
        <w:t>O</w:t>
      </w:r>
      <w:r w:rsidRPr="00347939">
        <w:rPr>
          <w:rFonts w:ascii="Tahoma" w:hAnsi="Tahoma" w:cs="Tahoma"/>
          <w:sz w:val="20"/>
        </w:rPr>
        <w:t>s perfis de risco do investidor são separados em três categorias, listadas abaixo.</w:t>
      </w:r>
    </w:p>
    <w:p w14:paraId="176F8798" w14:textId="0592B0EB" w:rsidR="00347939" w:rsidRPr="00347939" w:rsidRDefault="00347939" w:rsidP="00AD12FB">
      <w:pPr>
        <w:pStyle w:val="PargrafodaLista"/>
        <w:numPr>
          <w:ilvl w:val="0"/>
          <w:numId w:val="19"/>
        </w:numPr>
        <w:spacing w:after="120"/>
        <w:ind w:left="284" w:firstLine="709"/>
        <w:jc w:val="both"/>
        <w:rPr>
          <w:rFonts w:ascii="Tahoma" w:hAnsi="Tahoma" w:cs="Tahoma"/>
          <w:sz w:val="20"/>
        </w:rPr>
      </w:pPr>
      <w:r w:rsidRPr="00347939">
        <w:rPr>
          <w:rFonts w:ascii="Tahoma" w:hAnsi="Tahoma" w:cs="Tahoma"/>
          <w:sz w:val="20"/>
        </w:rPr>
        <w:t xml:space="preserve">PERFIL CONSERVADOR - </w:t>
      </w:r>
      <w:r w:rsidRPr="002F0916">
        <w:rPr>
          <w:rFonts w:ascii="Tahoma" w:hAnsi="Tahoma" w:cs="Tahoma"/>
          <w:sz w:val="16"/>
          <w:szCs w:val="18"/>
        </w:rPr>
        <w:t>A busca por ativos com menor risco</w:t>
      </w:r>
      <w:r w:rsidR="005D3A43">
        <w:rPr>
          <w:rFonts w:ascii="Tahoma" w:hAnsi="Tahoma" w:cs="Tahoma"/>
          <w:sz w:val="16"/>
          <w:szCs w:val="18"/>
        </w:rPr>
        <w:t xml:space="preserve"> se</w:t>
      </w:r>
      <w:r w:rsidRPr="002F0916">
        <w:rPr>
          <w:rFonts w:ascii="Tahoma" w:hAnsi="Tahoma" w:cs="Tahoma"/>
          <w:sz w:val="16"/>
          <w:szCs w:val="18"/>
        </w:rPr>
        <w:t xml:space="preserve"> sobressai a  busca por retornos, sendo primordial a preservação de capital;</w:t>
      </w:r>
    </w:p>
    <w:p w14:paraId="3417902B" w14:textId="52107534" w:rsidR="00347939" w:rsidRPr="00347939" w:rsidRDefault="00347939" w:rsidP="00AD12FB">
      <w:pPr>
        <w:pStyle w:val="PargrafodaLista"/>
        <w:numPr>
          <w:ilvl w:val="0"/>
          <w:numId w:val="19"/>
        </w:numPr>
        <w:spacing w:after="120"/>
        <w:ind w:left="284" w:firstLine="709"/>
        <w:jc w:val="both"/>
        <w:rPr>
          <w:rFonts w:ascii="Tahoma" w:hAnsi="Tahoma" w:cs="Tahoma"/>
          <w:sz w:val="18"/>
          <w:szCs w:val="20"/>
        </w:rPr>
      </w:pPr>
      <w:r w:rsidRPr="00347939">
        <w:rPr>
          <w:rFonts w:ascii="Tahoma" w:hAnsi="Tahoma" w:cs="Tahoma"/>
          <w:sz w:val="20"/>
        </w:rPr>
        <w:t xml:space="preserve">PERFIL MODERADO - </w:t>
      </w:r>
      <w:r w:rsidRPr="002F0916">
        <w:rPr>
          <w:rFonts w:ascii="Tahoma" w:hAnsi="Tahoma" w:cs="Tahoma"/>
          <w:sz w:val="16"/>
          <w:szCs w:val="18"/>
        </w:rPr>
        <w:t>Assume riscos um pouco maiores em busca de rentabilidade superior à média do mercado. Dá importância à segurança. Por isso, busca investir de forma equilibrada em diversas classes de ativos, como renda fixa, ações e fundos multimercados;</w:t>
      </w:r>
    </w:p>
    <w:p w14:paraId="0AA568F2" w14:textId="609E1C01" w:rsidR="00347939" w:rsidRPr="00BE6FCD" w:rsidRDefault="00347939" w:rsidP="00AD12FB">
      <w:pPr>
        <w:pStyle w:val="PargrafodaLista"/>
        <w:numPr>
          <w:ilvl w:val="0"/>
          <w:numId w:val="19"/>
        </w:numPr>
        <w:spacing w:after="120"/>
        <w:ind w:left="284" w:firstLine="709"/>
        <w:jc w:val="both"/>
        <w:rPr>
          <w:rFonts w:ascii="Tahoma" w:hAnsi="Tahoma" w:cs="Tahoma"/>
          <w:sz w:val="18"/>
          <w:szCs w:val="20"/>
        </w:rPr>
      </w:pPr>
      <w:r w:rsidRPr="00BE6FCD">
        <w:rPr>
          <w:rFonts w:ascii="Tahoma" w:hAnsi="Tahoma" w:cs="Tahoma"/>
          <w:sz w:val="20"/>
        </w:rPr>
        <w:lastRenderedPageBreak/>
        <w:t xml:space="preserve">PERFIL ARROJADO - </w:t>
      </w:r>
      <w:r w:rsidRPr="00BE6FCD">
        <w:rPr>
          <w:rFonts w:ascii="Tahoma" w:hAnsi="Tahoma" w:cs="Tahoma"/>
          <w:sz w:val="16"/>
          <w:szCs w:val="18"/>
        </w:rPr>
        <w:t xml:space="preserve">Assume riscos mais altos, em busca da maior rentabilidade possível. Entende que a oscilação diária dos mercados é suavizada no médio e no </w:t>
      </w:r>
      <w:proofErr w:type="gramStart"/>
      <w:r w:rsidRPr="00BE6FCD">
        <w:rPr>
          <w:rFonts w:ascii="Tahoma" w:hAnsi="Tahoma" w:cs="Tahoma"/>
          <w:sz w:val="16"/>
          <w:szCs w:val="18"/>
        </w:rPr>
        <w:t>longo prazos</w:t>
      </w:r>
      <w:proofErr w:type="gramEnd"/>
      <w:r w:rsidRPr="00BE6FCD">
        <w:rPr>
          <w:rFonts w:ascii="Tahoma" w:hAnsi="Tahoma" w:cs="Tahoma"/>
          <w:sz w:val="16"/>
          <w:szCs w:val="18"/>
        </w:rPr>
        <w:t>, quando o mercado apresenta maior estabilidade. O arrojado tem um percentual maior da carteira em renda variável do que os moderados. Prioriza a rentabilidade do investimento.</w:t>
      </w:r>
    </w:p>
    <w:p w14:paraId="57820D5B" w14:textId="558EC16E" w:rsidR="00347939" w:rsidRDefault="00347939" w:rsidP="00AD12FB">
      <w:pPr>
        <w:spacing w:after="120"/>
        <w:ind w:firstLine="709"/>
        <w:jc w:val="both"/>
        <w:rPr>
          <w:rFonts w:ascii="Tahoma" w:hAnsi="Tahoma" w:cs="Tahoma"/>
          <w:sz w:val="20"/>
        </w:rPr>
      </w:pPr>
      <w:r w:rsidRPr="00BE6FCD">
        <w:rPr>
          <w:rFonts w:ascii="Tahoma" w:hAnsi="Tahoma" w:cs="Tahoma"/>
          <w:sz w:val="20"/>
        </w:rPr>
        <w:t xml:space="preserve">Desta maneira, considerando </w:t>
      </w:r>
      <w:r w:rsidR="00E201C5" w:rsidRPr="00BE6FCD">
        <w:rPr>
          <w:rFonts w:ascii="Tahoma" w:hAnsi="Tahoma" w:cs="Tahoma"/>
          <w:sz w:val="20"/>
        </w:rPr>
        <w:t>o posicionamento histórico nos investimentos do RPPS e</w:t>
      </w:r>
      <w:r w:rsidR="00621CC7" w:rsidRPr="00BE6FCD">
        <w:rPr>
          <w:rFonts w:ascii="Tahoma" w:hAnsi="Tahoma" w:cs="Tahoma"/>
          <w:sz w:val="20"/>
        </w:rPr>
        <w:t>,</w:t>
      </w:r>
      <w:r w:rsidR="00E201C5" w:rsidRPr="00BE6FCD">
        <w:rPr>
          <w:rFonts w:ascii="Tahoma" w:hAnsi="Tahoma" w:cs="Tahoma"/>
          <w:sz w:val="20"/>
        </w:rPr>
        <w:t xml:space="preserve"> também</w:t>
      </w:r>
      <w:r w:rsidR="00621CC7" w:rsidRPr="00BE6FCD">
        <w:rPr>
          <w:rFonts w:ascii="Tahoma" w:hAnsi="Tahoma" w:cs="Tahoma"/>
          <w:sz w:val="20"/>
        </w:rPr>
        <w:t>,</w:t>
      </w:r>
      <w:r w:rsidR="00E201C5" w:rsidRPr="00BE6FCD">
        <w:rPr>
          <w:rFonts w:ascii="Tahoma" w:hAnsi="Tahoma" w:cs="Tahoma"/>
          <w:sz w:val="20"/>
        </w:rPr>
        <w:t xml:space="preserve"> ponderando o posicionamento d</w:t>
      </w:r>
      <w:r w:rsidRPr="00BE6FCD">
        <w:rPr>
          <w:rFonts w:ascii="Tahoma" w:hAnsi="Tahoma" w:cs="Tahoma"/>
          <w:sz w:val="20"/>
        </w:rPr>
        <w:t>os</w:t>
      </w:r>
      <w:r w:rsidR="00E201C5" w:rsidRPr="00BE6FCD">
        <w:rPr>
          <w:rFonts w:ascii="Tahoma" w:hAnsi="Tahoma" w:cs="Tahoma"/>
          <w:sz w:val="20"/>
        </w:rPr>
        <w:t xml:space="preserve"> seus</w:t>
      </w:r>
      <w:r w:rsidRPr="00BE6FCD">
        <w:rPr>
          <w:rFonts w:ascii="Tahoma" w:hAnsi="Tahoma" w:cs="Tahoma"/>
          <w:sz w:val="20"/>
        </w:rPr>
        <w:t xml:space="preserve"> gestores, </w:t>
      </w:r>
      <w:r w:rsidR="006E059E" w:rsidRPr="00BE6FCD">
        <w:rPr>
          <w:rFonts w:ascii="Tahoma" w:hAnsi="Tahoma" w:cs="Tahoma"/>
          <w:sz w:val="20"/>
        </w:rPr>
        <w:t>ressaltamos</w:t>
      </w:r>
      <w:r w:rsidRPr="00BE6FCD">
        <w:rPr>
          <w:rFonts w:ascii="Tahoma" w:hAnsi="Tahoma" w:cs="Tahoma"/>
          <w:sz w:val="20"/>
        </w:rPr>
        <w:t xml:space="preserve"> que</w:t>
      </w:r>
      <w:r w:rsidR="006E059E" w:rsidRPr="00BE6FCD">
        <w:rPr>
          <w:rFonts w:ascii="Tahoma" w:hAnsi="Tahoma" w:cs="Tahoma"/>
          <w:sz w:val="20"/>
        </w:rPr>
        <w:t xml:space="preserve"> o </w:t>
      </w:r>
      <w:r w:rsidR="00E201C5" w:rsidRPr="00BE6FCD">
        <w:rPr>
          <w:rFonts w:ascii="Tahoma" w:hAnsi="Tahoma" w:cs="Tahoma"/>
          <w:sz w:val="20"/>
        </w:rPr>
        <w:fldChar w:fldCharType="begin"/>
      </w:r>
      <w:r w:rsidR="00E201C5" w:rsidRPr="00BE6FCD">
        <w:rPr>
          <w:rFonts w:ascii="Tahoma" w:hAnsi="Tahoma" w:cs="Tahoma"/>
          <w:sz w:val="20"/>
        </w:rPr>
        <w:instrText xml:space="preserve"> MERGEFIELD NOME_DO_FUNDO </w:instrText>
      </w:r>
      <w:r w:rsidR="00E201C5" w:rsidRPr="00BE6FCD">
        <w:rPr>
          <w:rFonts w:ascii="Tahoma" w:hAnsi="Tahoma" w:cs="Tahoma"/>
          <w:sz w:val="20"/>
        </w:rPr>
        <w:fldChar w:fldCharType="separate"/>
      </w:r>
      <w:r w:rsidR="00A14265" w:rsidRPr="00BC514D">
        <w:rPr>
          <w:rFonts w:ascii="Tahoma" w:hAnsi="Tahoma" w:cs="Tahoma"/>
          <w:noProof/>
          <w:sz w:val="20"/>
        </w:rPr>
        <w:t>FUNDO DE ASSISTÊNCIA E PREVIDÊNCIA DOS SERVIDORES ESTATUTÁRIOS DO MUNICÍPIO DE TRIUNFO – FAPETRI</w:t>
      </w:r>
      <w:r w:rsidR="00E201C5" w:rsidRPr="00BE6FCD">
        <w:rPr>
          <w:rFonts w:ascii="Tahoma" w:hAnsi="Tahoma" w:cs="Tahoma"/>
          <w:sz w:val="20"/>
        </w:rPr>
        <w:fldChar w:fldCharType="end"/>
      </w:r>
      <w:r w:rsidRPr="00BE6FCD">
        <w:rPr>
          <w:rFonts w:ascii="Tahoma" w:hAnsi="Tahoma" w:cs="Tahoma"/>
          <w:sz w:val="20"/>
        </w:rPr>
        <w:t xml:space="preserve"> possui o perfil</w:t>
      </w:r>
      <w:r w:rsidR="006E059E" w:rsidRPr="00BE6FCD">
        <w:rPr>
          <w:rFonts w:ascii="Tahoma" w:hAnsi="Tahoma" w:cs="Tahoma"/>
          <w:sz w:val="20"/>
        </w:rPr>
        <w:t xml:space="preserve"> de investidor </w:t>
      </w:r>
      <w:r w:rsidR="00BB3ABA" w:rsidRPr="00BE6FCD">
        <w:rPr>
          <w:rFonts w:ascii="Tahoma" w:hAnsi="Tahoma" w:cs="Tahoma"/>
          <w:b/>
          <w:bCs/>
          <w:sz w:val="20"/>
        </w:rPr>
        <w:fldChar w:fldCharType="begin"/>
      </w:r>
      <w:r w:rsidR="00BB3ABA" w:rsidRPr="00BE6FCD">
        <w:rPr>
          <w:rFonts w:ascii="Tahoma" w:hAnsi="Tahoma" w:cs="Tahoma"/>
          <w:b/>
          <w:bCs/>
          <w:sz w:val="20"/>
        </w:rPr>
        <w:instrText xml:space="preserve"> MERGEFIELD PERFIL </w:instrText>
      </w:r>
      <w:r w:rsidR="00BB3ABA" w:rsidRPr="00BE6FCD">
        <w:rPr>
          <w:rFonts w:ascii="Tahoma" w:hAnsi="Tahoma" w:cs="Tahoma"/>
          <w:b/>
          <w:bCs/>
          <w:sz w:val="20"/>
        </w:rPr>
        <w:fldChar w:fldCharType="separate"/>
      </w:r>
      <w:r w:rsidR="00A14265" w:rsidRPr="00BC514D">
        <w:rPr>
          <w:rFonts w:ascii="Tahoma" w:hAnsi="Tahoma" w:cs="Tahoma"/>
          <w:b/>
          <w:bCs/>
          <w:noProof/>
          <w:sz w:val="20"/>
        </w:rPr>
        <w:t>Conservador</w:t>
      </w:r>
      <w:r w:rsidR="00BB3ABA" w:rsidRPr="00BE6FCD">
        <w:rPr>
          <w:rFonts w:ascii="Tahoma" w:hAnsi="Tahoma" w:cs="Tahoma"/>
          <w:b/>
          <w:bCs/>
          <w:sz w:val="20"/>
        </w:rPr>
        <w:fldChar w:fldCharType="end"/>
      </w:r>
      <w:r w:rsidRPr="00BE6FCD">
        <w:rPr>
          <w:rFonts w:ascii="Tahoma" w:hAnsi="Tahoma" w:cs="Tahoma"/>
          <w:sz w:val="20"/>
        </w:rPr>
        <w:t>.</w:t>
      </w:r>
    </w:p>
    <w:p w14:paraId="7783769D" w14:textId="54F246DE" w:rsidR="00465C63" w:rsidRPr="00E8601E" w:rsidRDefault="00465C63" w:rsidP="00EC5FD6">
      <w:pPr>
        <w:pStyle w:val="Ttulo2"/>
        <w:spacing w:after="120"/>
        <w:rPr>
          <w:rFonts w:ascii="Tahoma" w:eastAsiaTheme="minorEastAsia" w:hAnsi="Tahoma" w:cs="Tahoma"/>
          <w:b/>
          <w:color w:val="auto"/>
          <w:sz w:val="20"/>
          <w:szCs w:val="22"/>
        </w:rPr>
      </w:pPr>
      <w:bookmarkStart w:id="30" w:name="_Toc181542576"/>
      <w:r>
        <w:rPr>
          <w:rFonts w:ascii="Tahoma" w:eastAsiaTheme="minorEastAsia" w:hAnsi="Tahoma" w:cs="Tahoma"/>
          <w:b/>
          <w:color w:val="auto"/>
          <w:sz w:val="20"/>
          <w:szCs w:val="22"/>
        </w:rPr>
        <w:t>Plano de Conti</w:t>
      </w:r>
      <w:r w:rsidR="009557BB">
        <w:rPr>
          <w:rFonts w:ascii="Tahoma" w:eastAsiaTheme="minorEastAsia" w:hAnsi="Tahoma" w:cs="Tahoma"/>
          <w:b/>
          <w:color w:val="auto"/>
          <w:sz w:val="20"/>
          <w:szCs w:val="22"/>
        </w:rPr>
        <w:t>n</w:t>
      </w:r>
      <w:r>
        <w:rPr>
          <w:rFonts w:ascii="Tahoma" w:eastAsiaTheme="minorEastAsia" w:hAnsi="Tahoma" w:cs="Tahoma"/>
          <w:b/>
          <w:color w:val="auto"/>
          <w:sz w:val="20"/>
          <w:szCs w:val="22"/>
        </w:rPr>
        <w:t>gência para situações de crise no mercado financeiro</w:t>
      </w:r>
      <w:bookmarkEnd w:id="30"/>
    </w:p>
    <w:p w14:paraId="096A67A4" w14:textId="77777777" w:rsidR="00465C63" w:rsidRDefault="00465C63" w:rsidP="00AD12FB">
      <w:pPr>
        <w:spacing w:after="120"/>
        <w:ind w:firstLine="709"/>
        <w:jc w:val="both"/>
        <w:rPr>
          <w:rFonts w:ascii="Tahoma" w:hAnsi="Tahoma" w:cs="Tahoma"/>
          <w:sz w:val="20"/>
        </w:rPr>
      </w:pPr>
    </w:p>
    <w:p w14:paraId="5216A2C5" w14:textId="075ED817" w:rsidR="00465C63" w:rsidRPr="00BE6FCD" w:rsidRDefault="00465C63" w:rsidP="00AD12FB">
      <w:pPr>
        <w:spacing w:after="120"/>
        <w:ind w:firstLine="709"/>
        <w:jc w:val="both"/>
        <w:rPr>
          <w:rFonts w:ascii="Tahoma" w:hAnsi="Tahoma" w:cs="Tahoma"/>
          <w:sz w:val="20"/>
        </w:rPr>
      </w:pPr>
      <w:r w:rsidRPr="00BE6FCD">
        <w:rPr>
          <w:rFonts w:ascii="Tahoma" w:hAnsi="Tahoma" w:cs="Tahoma"/>
          <w:sz w:val="20"/>
        </w:rPr>
        <w:t xml:space="preserve">O Plano de Contingência estabelecido, contempla a abrangência exigida pela Resolução CMN n° </w:t>
      </w:r>
      <w:r w:rsidR="00CB03D4" w:rsidRPr="00BE6FCD">
        <w:rPr>
          <w:rFonts w:ascii="Tahoma" w:hAnsi="Tahoma" w:cs="Tahoma"/>
          <w:sz w:val="20"/>
        </w:rPr>
        <w:t>4.963/2021</w:t>
      </w:r>
      <w:r w:rsidRPr="00BE6FCD">
        <w:rPr>
          <w:rFonts w:ascii="Tahoma" w:hAnsi="Tahoma" w:cs="Tahoma"/>
          <w:sz w:val="20"/>
        </w:rPr>
        <w:t xml:space="preserve">, em seu Art. 4°, inciso VIII, ou seja, entende-se por "contingência" no âmbito desta </w:t>
      </w:r>
      <w:r w:rsidR="007A0B11" w:rsidRPr="00BE6FCD">
        <w:rPr>
          <w:rFonts w:ascii="Tahoma" w:hAnsi="Tahoma" w:cs="Tahoma"/>
          <w:sz w:val="20"/>
        </w:rPr>
        <w:t>Política de Investimentos</w:t>
      </w:r>
      <w:r w:rsidRPr="00BE6FCD">
        <w:rPr>
          <w:rFonts w:ascii="Tahoma" w:hAnsi="Tahoma" w:cs="Tahoma"/>
          <w:sz w:val="20"/>
        </w:rPr>
        <w:t xml:space="preserve"> a excessiva exposição a riscos ou potenciais perdas dos recursos.</w:t>
      </w:r>
      <w:r w:rsidR="007E1801" w:rsidRPr="00BE6FCD">
        <w:rPr>
          <w:rFonts w:ascii="Tahoma" w:hAnsi="Tahoma" w:cs="Tahoma"/>
          <w:sz w:val="20"/>
        </w:rPr>
        <w:t xml:space="preserve"> Vale ressaltar que também atend</w:t>
      </w:r>
      <w:r w:rsidR="00621CC7" w:rsidRPr="00BE6FCD">
        <w:rPr>
          <w:rFonts w:ascii="Tahoma" w:hAnsi="Tahoma" w:cs="Tahoma"/>
          <w:sz w:val="20"/>
        </w:rPr>
        <w:t>e</w:t>
      </w:r>
      <w:r w:rsidR="007E1801" w:rsidRPr="00BE6FCD">
        <w:rPr>
          <w:rFonts w:ascii="Tahoma" w:hAnsi="Tahoma" w:cs="Tahoma"/>
          <w:sz w:val="20"/>
        </w:rPr>
        <w:t xml:space="preserve"> a Portaria MTP</w:t>
      </w:r>
      <w:r w:rsidR="00621CC7" w:rsidRPr="00BE6FCD">
        <w:rPr>
          <w:rFonts w:ascii="Tahoma" w:hAnsi="Tahoma" w:cs="Tahoma"/>
          <w:sz w:val="20"/>
        </w:rPr>
        <w:t xml:space="preserve"> nº</w:t>
      </w:r>
      <w:r w:rsidR="007E1801" w:rsidRPr="00BE6FCD">
        <w:rPr>
          <w:rFonts w:ascii="Tahoma" w:hAnsi="Tahoma" w:cs="Tahoma"/>
          <w:sz w:val="20"/>
        </w:rPr>
        <w:t xml:space="preserve"> 1.467/2022 (Art. 102).</w:t>
      </w:r>
    </w:p>
    <w:p w14:paraId="496F2F24" w14:textId="626CD817" w:rsidR="00465C63" w:rsidRPr="00BE6FCD" w:rsidRDefault="00465C63" w:rsidP="00AD12FB">
      <w:pPr>
        <w:spacing w:after="120"/>
        <w:ind w:firstLine="709"/>
        <w:jc w:val="both"/>
        <w:rPr>
          <w:rFonts w:ascii="Tahoma" w:hAnsi="Tahoma" w:cs="Tahoma"/>
          <w:sz w:val="20"/>
        </w:rPr>
      </w:pPr>
      <w:r w:rsidRPr="00BE6FCD">
        <w:rPr>
          <w:rFonts w:ascii="Tahoma" w:hAnsi="Tahoma" w:cs="Tahoma"/>
          <w:sz w:val="20"/>
        </w:rPr>
        <w:t xml:space="preserve">Com a identificação clara das contingências chegamos ao desenvolvimento do plano no processo dos investimentos, que abrange não somente o </w:t>
      </w:r>
      <w:r w:rsidR="002670EA" w:rsidRPr="00BE6FCD">
        <w:rPr>
          <w:rFonts w:ascii="Tahoma" w:hAnsi="Tahoma" w:cs="Tahoma"/>
          <w:b/>
          <w:bCs/>
          <w:sz w:val="20"/>
        </w:rPr>
        <w:fldChar w:fldCharType="begin"/>
      </w:r>
      <w:r w:rsidR="002670EA" w:rsidRPr="00BE6FCD">
        <w:rPr>
          <w:rFonts w:ascii="Tahoma" w:hAnsi="Tahoma" w:cs="Tahoma"/>
          <w:b/>
          <w:bCs/>
          <w:sz w:val="20"/>
        </w:rPr>
        <w:instrText xml:space="preserve"> MERGEFIELD COMITÊ </w:instrText>
      </w:r>
      <w:r w:rsidR="002670EA" w:rsidRPr="00BE6FCD">
        <w:rPr>
          <w:rFonts w:ascii="Tahoma" w:hAnsi="Tahoma" w:cs="Tahoma"/>
          <w:b/>
          <w:bCs/>
          <w:sz w:val="20"/>
        </w:rPr>
        <w:fldChar w:fldCharType="separate"/>
      </w:r>
      <w:r w:rsidR="00A14265" w:rsidRPr="00BC514D">
        <w:rPr>
          <w:rFonts w:ascii="Tahoma" w:hAnsi="Tahoma" w:cs="Tahoma"/>
          <w:b/>
          <w:bCs/>
          <w:noProof/>
          <w:sz w:val="20"/>
        </w:rPr>
        <w:t>COMITÊ DE INVESTIMENTOS</w:t>
      </w:r>
      <w:r w:rsidR="002670EA" w:rsidRPr="00BE6FCD">
        <w:rPr>
          <w:rFonts w:ascii="Tahoma" w:hAnsi="Tahoma" w:cs="Tahoma"/>
          <w:b/>
          <w:bCs/>
          <w:sz w:val="20"/>
        </w:rPr>
        <w:fldChar w:fldCharType="end"/>
      </w:r>
      <w:r w:rsidRPr="00BE6FCD">
        <w:rPr>
          <w:rFonts w:ascii="Tahoma" w:hAnsi="Tahoma" w:cs="Tahoma"/>
          <w:sz w:val="20"/>
        </w:rPr>
        <w:t xml:space="preserve"> </w:t>
      </w:r>
      <w:r w:rsidR="00621CC7" w:rsidRPr="00BE6FCD">
        <w:rPr>
          <w:rFonts w:ascii="Tahoma" w:hAnsi="Tahoma" w:cs="Tahoma"/>
          <w:sz w:val="20"/>
        </w:rPr>
        <w:t xml:space="preserve">, </w:t>
      </w:r>
      <w:r w:rsidRPr="00BE6FCD">
        <w:rPr>
          <w:rFonts w:ascii="Tahoma" w:hAnsi="Tahoma" w:cs="Tahoma"/>
          <w:sz w:val="20"/>
        </w:rPr>
        <w:t xml:space="preserve">mas o </w:t>
      </w:r>
      <w:r w:rsidR="002670EA" w:rsidRPr="00BE6FCD">
        <w:rPr>
          <w:rFonts w:ascii="Tahoma" w:hAnsi="Tahoma" w:cs="Tahoma"/>
          <w:b/>
          <w:bCs/>
          <w:noProof/>
          <w:sz w:val="20"/>
        </w:rPr>
        <w:fldChar w:fldCharType="begin"/>
      </w:r>
      <w:r w:rsidR="002670EA" w:rsidRPr="00BE6FCD">
        <w:rPr>
          <w:rFonts w:ascii="Tahoma" w:hAnsi="Tahoma" w:cs="Tahoma"/>
          <w:b/>
          <w:bCs/>
          <w:noProof/>
          <w:sz w:val="20"/>
        </w:rPr>
        <w:instrText xml:space="preserve"> MERGEFIELD CONSELHO </w:instrText>
      </w:r>
      <w:r w:rsidR="002670EA" w:rsidRPr="00BE6FCD">
        <w:rPr>
          <w:rFonts w:ascii="Tahoma" w:hAnsi="Tahoma" w:cs="Tahoma"/>
          <w:b/>
          <w:bCs/>
          <w:noProof/>
          <w:sz w:val="20"/>
        </w:rPr>
        <w:fldChar w:fldCharType="separate"/>
      </w:r>
      <w:r w:rsidR="00A14265" w:rsidRPr="00BC514D">
        <w:rPr>
          <w:rFonts w:ascii="Tahoma" w:hAnsi="Tahoma" w:cs="Tahoma"/>
          <w:b/>
          <w:bCs/>
          <w:noProof/>
          <w:sz w:val="20"/>
        </w:rPr>
        <w:t>CONSELHO DE ADMINISTRAÇÃO DO FAPETRI</w:t>
      </w:r>
      <w:r w:rsidR="002670EA" w:rsidRPr="00BE6FCD">
        <w:rPr>
          <w:rFonts w:ascii="Tahoma" w:hAnsi="Tahoma" w:cs="Tahoma"/>
          <w:b/>
          <w:bCs/>
          <w:noProof/>
          <w:sz w:val="20"/>
        </w:rPr>
        <w:fldChar w:fldCharType="end"/>
      </w:r>
      <w:r w:rsidRPr="00BE6FCD">
        <w:rPr>
          <w:rFonts w:ascii="Tahoma" w:hAnsi="Tahoma" w:cs="Tahoma"/>
          <w:sz w:val="20"/>
        </w:rPr>
        <w:t>.</w:t>
      </w:r>
    </w:p>
    <w:p w14:paraId="49704E2C" w14:textId="13BC806F" w:rsidR="00465C63" w:rsidRDefault="00465C63" w:rsidP="00AD12FB">
      <w:pPr>
        <w:spacing w:after="120"/>
        <w:ind w:firstLine="709"/>
        <w:jc w:val="both"/>
        <w:rPr>
          <w:rFonts w:ascii="Tahoma" w:hAnsi="Tahoma" w:cs="Tahoma"/>
          <w:sz w:val="20"/>
        </w:rPr>
      </w:pPr>
      <w:r w:rsidRPr="00BE6FCD">
        <w:rPr>
          <w:rFonts w:ascii="Tahoma" w:hAnsi="Tahoma" w:cs="Tahoma"/>
          <w:sz w:val="20"/>
        </w:rPr>
        <w:t xml:space="preserve">Entende-se como Exposição </w:t>
      </w:r>
      <w:proofErr w:type="spellStart"/>
      <w:r w:rsidR="005731B7" w:rsidRPr="00BE6FCD">
        <w:rPr>
          <w:rFonts w:ascii="Tahoma" w:hAnsi="Tahoma" w:cs="Tahoma"/>
          <w:sz w:val="20"/>
        </w:rPr>
        <w:t>à</w:t>
      </w:r>
      <w:proofErr w:type="spellEnd"/>
      <w:r w:rsidRPr="00BE6FCD">
        <w:rPr>
          <w:rFonts w:ascii="Tahoma" w:hAnsi="Tahoma" w:cs="Tahoma"/>
          <w:sz w:val="20"/>
        </w:rPr>
        <w:t xml:space="preserve"> Risco os investimentos que direcionam a carteira de investimentos do </w:t>
      </w:r>
      <w:r w:rsidR="002670EA" w:rsidRPr="00BE6FCD">
        <w:rPr>
          <w:rFonts w:ascii="Tahoma" w:hAnsi="Tahoma" w:cs="Tahoma"/>
          <w:b/>
          <w:bCs/>
          <w:noProof/>
          <w:sz w:val="20"/>
        </w:rPr>
        <w:fldChar w:fldCharType="begin"/>
      </w:r>
      <w:r w:rsidR="002670EA" w:rsidRPr="00BE6FCD">
        <w:rPr>
          <w:rFonts w:ascii="Tahoma" w:hAnsi="Tahoma" w:cs="Tahoma"/>
          <w:b/>
          <w:bCs/>
          <w:noProof/>
          <w:sz w:val="20"/>
        </w:rPr>
        <w:instrText xml:space="preserve"> MERGEFIELD NOME_DO_FUNDO </w:instrText>
      </w:r>
      <w:r w:rsidR="002670EA" w:rsidRPr="00BE6FCD">
        <w:rPr>
          <w:rFonts w:ascii="Tahoma" w:hAnsi="Tahoma" w:cs="Tahoma"/>
          <w:b/>
          <w:bCs/>
          <w:noProof/>
          <w:sz w:val="20"/>
        </w:rPr>
        <w:fldChar w:fldCharType="separate"/>
      </w:r>
      <w:r w:rsidR="00A14265" w:rsidRPr="00BC514D">
        <w:rPr>
          <w:rFonts w:ascii="Tahoma" w:hAnsi="Tahoma" w:cs="Tahoma"/>
          <w:b/>
          <w:bCs/>
          <w:noProof/>
          <w:sz w:val="20"/>
        </w:rPr>
        <w:t>FUNDO DE ASSISTÊNCIA E PREVIDÊNCIA DOS SERVIDORES ESTATUTÁRIOS DO MUNICÍPIO DE TRIUNFO – FAPETRI</w:t>
      </w:r>
      <w:r w:rsidR="002670EA" w:rsidRPr="00BE6FCD">
        <w:rPr>
          <w:rFonts w:ascii="Tahoma" w:hAnsi="Tahoma" w:cs="Tahoma"/>
          <w:b/>
          <w:bCs/>
          <w:noProof/>
          <w:sz w:val="20"/>
        </w:rPr>
        <w:fldChar w:fldCharType="end"/>
      </w:r>
      <w:r w:rsidRPr="00BE6FCD">
        <w:rPr>
          <w:rFonts w:ascii="Tahoma" w:hAnsi="Tahoma" w:cs="Tahoma"/>
          <w:sz w:val="20"/>
        </w:rPr>
        <w:t xml:space="preserve"> para o não cumprimento dos limites, requisitos e normas estabelecidos aos </w:t>
      </w:r>
      <w:r w:rsidR="00C01C06" w:rsidRPr="00BE6FCD">
        <w:rPr>
          <w:rFonts w:ascii="Tahoma" w:hAnsi="Tahoma" w:cs="Tahoma"/>
          <w:b/>
          <w:bCs/>
          <w:sz w:val="20"/>
        </w:rPr>
        <w:fldChar w:fldCharType="begin"/>
      </w:r>
      <w:r w:rsidR="00C01C06" w:rsidRPr="00BE6FCD">
        <w:rPr>
          <w:rFonts w:ascii="Tahoma" w:hAnsi="Tahoma" w:cs="Tahoma"/>
          <w:b/>
          <w:bCs/>
          <w:sz w:val="20"/>
        </w:rPr>
        <w:instrText xml:space="preserve"> MERGEFIELD TP </w:instrText>
      </w:r>
      <w:r w:rsidR="00C01C06" w:rsidRPr="00BE6FCD">
        <w:rPr>
          <w:rFonts w:ascii="Tahoma" w:hAnsi="Tahoma" w:cs="Tahoma"/>
          <w:b/>
          <w:bCs/>
          <w:sz w:val="20"/>
        </w:rPr>
        <w:fldChar w:fldCharType="separate"/>
      </w:r>
      <w:r w:rsidR="00A14265" w:rsidRPr="00BC514D">
        <w:rPr>
          <w:rFonts w:ascii="Tahoma" w:hAnsi="Tahoma" w:cs="Tahoma"/>
          <w:b/>
          <w:bCs/>
          <w:noProof/>
          <w:sz w:val="20"/>
        </w:rPr>
        <w:t>FAPETRI</w:t>
      </w:r>
      <w:r w:rsidR="00C01C06" w:rsidRPr="00BE6FCD">
        <w:rPr>
          <w:rFonts w:ascii="Tahoma" w:hAnsi="Tahoma" w:cs="Tahoma"/>
          <w:b/>
          <w:bCs/>
          <w:sz w:val="20"/>
        </w:rPr>
        <w:fldChar w:fldCharType="end"/>
      </w:r>
      <w:r w:rsidRPr="00BE6FCD">
        <w:rPr>
          <w:rFonts w:ascii="Tahoma" w:hAnsi="Tahoma" w:cs="Tahoma"/>
          <w:sz w:val="20"/>
        </w:rPr>
        <w:t>. Então, para minimizar os impactos de uma exposição ao risco, é fundamental que o plano de contingência estipule uma</w:t>
      </w:r>
      <w:r w:rsidRPr="00FC6F8F">
        <w:rPr>
          <w:rFonts w:ascii="Tahoma" w:hAnsi="Tahoma" w:cs="Tahoma"/>
          <w:sz w:val="20"/>
        </w:rPr>
        <w:t xml:space="preserve"> metodologia</w:t>
      </w:r>
      <w:r>
        <w:rPr>
          <w:rFonts w:ascii="Tahoma" w:hAnsi="Tahoma" w:cs="Tahoma"/>
          <w:sz w:val="20"/>
        </w:rPr>
        <w:t>, conforme abaixo</w:t>
      </w:r>
      <w:r w:rsidRPr="00FC6F8F">
        <w:rPr>
          <w:rFonts w:ascii="Tahoma" w:hAnsi="Tahoma" w:cs="Tahoma"/>
          <w:sz w:val="20"/>
        </w:rPr>
        <w:t>:</w:t>
      </w:r>
      <w:r>
        <w:rPr>
          <w:rFonts w:ascii="Tahoma" w:hAnsi="Tahoma" w:cs="Tahoma"/>
          <w:sz w:val="20"/>
        </w:rPr>
        <w:t xml:space="preserve"> </w:t>
      </w:r>
    </w:p>
    <w:p w14:paraId="7473BC82" w14:textId="77777777" w:rsidR="00465C63" w:rsidRDefault="00465C63" w:rsidP="00A50E9C">
      <w:pPr>
        <w:spacing w:after="120"/>
        <w:jc w:val="both"/>
        <w:rPr>
          <w:rFonts w:ascii="Tahoma" w:hAnsi="Tahoma" w:cs="Tahoma"/>
          <w:sz w:val="20"/>
        </w:rPr>
      </w:pPr>
      <w:r>
        <w:rPr>
          <w:rFonts w:ascii="Tahoma" w:hAnsi="Tahoma" w:cs="Tahoma"/>
          <w:noProof/>
          <w:sz w:val="20"/>
        </w:rPr>
        <mc:AlternateContent>
          <mc:Choice Requires="wps">
            <w:drawing>
              <wp:anchor distT="0" distB="0" distL="114300" distR="114300" simplePos="0" relativeHeight="251667456" behindDoc="0" locked="0" layoutInCell="1" allowOverlap="1" wp14:anchorId="667411A7" wp14:editId="0DD6317A">
                <wp:simplePos x="0" y="0"/>
                <wp:positionH relativeFrom="margin">
                  <wp:posOffset>2960370</wp:posOffset>
                </wp:positionH>
                <wp:positionV relativeFrom="paragraph">
                  <wp:posOffset>138430</wp:posOffset>
                </wp:positionV>
                <wp:extent cx="2166620" cy="1285875"/>
                <wp:effectExtent l="0" t="0" r="0" b="9525"/>
                <wp:wrapSquare wrapText="bothSides"/>
                <wp:docPr id="13" name="Caixa de Texto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6620" cy="1285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5875">
                              <a:solidFill>
                                <a:srgbClr val="1F497D"/>
                              </a:solidFill>
                              <a:prstDash val="dash"/>
                              <a:miter lim="800000"/>
                              <a:headEnd/>
                              <a:tailEnd/>
                            </a14:hiddenLine>
                          </a:ext>
                        </a:extLst>
                      </wps:spPr>
                      <wps:txbx>
                        <w:txbxContent>
                          <w:p w14:paraId="6795572A" w14:textId="77777777" w:rsidR="007A0B11" w:rsidRDefault="007A0B11" w:rsidP="00D87AB6">
                            <w:r w:rsidRPr="00DF3F98">
                              <w:rPr>
                                <w:noProof/>
                              </w:rPr>
                              <w:drawing>
                                <wp:inline distT="0" distB="0" distL="0" distR="0" wp14:anchorId="21335AE5" wp14:editId="4A32BA30">
                                  <wp:extent cx="1914525" cy="1194435"/>
                                  <wp:effectExtent l="0" t="0" r="9525" b="5715"/>
                                  <wp:docPr id="1079581867" name="Imagem 10795818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1914525" cy="1194435"/>
                                          </a:xfrm>
                                          <a:prstGeom prst="rect">
                                            <a:avLst/>
                                          </a:prstGeom>
                                          <a:noFill/>
                                          <a:ln>
                                            <a:noFill/>
                                          </a:ln>
                                        </pic:spPr>
                                      </pic:pic>
                                    </a:graphicData>
                                  </a:graphic>
                                </wp:inline>
                              </w:drawing>
                            </w:r>
                          </w:p>
                          <w:p w14:paraId="673DE615" w14:textId="77777777" w:rsidR="007A0B11" w:rsidRPr="00C35223" w:rsidRDefault="007A0B11" w:rsidP="00D87AB6">
                            <w:pPr>
                              <w:rPr>
                                <w:szCs w:val="20"/>
                              </w:rPr>
                            </w:pPr>
                          </w:p>
                        </w:txbxContent>
                      </wps:txbx>
                      <wps:bodyPr rot="0" vert="horz" wrap="square" lIns="91440" tIns="45720" rIns="91440" bIns="4572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667411A7" id="Caixa de Texto 13" o:spid="_x0000_s1030" type="#_x0000_t202" style="position:absolute;left:0;text-align:left;margin-left:233.1pt;margin-top:10.9pt;width:170.6pt;height:101.2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" filled="f" stroked="f" strokecolor="#1f497d" strokeweight="1.25pt">
                <v:stroke dashstyle="dash"/>
                <v:textbox>
                  <w:txbxContent>
                    <w:p w14:paraId="6795572A" w14:textId="77777777" w:rsidR="007A0B11" w:rsidRDefault="007A0B11" w:rsidP="00D87AB6">
                      <w:r w:rsidRPr="00DF3F98">
                        <w:rPr>
                          <w:noProof/>
                        </w:rPr>
                        <w:drawing>
                          <wp:inline distT="0" distB="0" distL="0" distR="0" wp14:anchorId="21335AE5" wp14:editId="4A32BA30">
                            <wp:extent cx="1914525" cy="1194435"/>
                            <wp:effectExtent l="0" t="0" r="9525" b="5715"/>
                            <wp:docPr id="1079581867" name="Imagem 10795818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1914525" cy="1194435"/>
                                    </a:xfrm>
                                    <a:prstGeom prst="rect">
                                      <a:avLst/>
                                    </a:prstGeom>
                                    <a:noFill/>
                                    <a:ln>
                                      <a:noFill/>
                                    </a:ln>
                                  </pic:spPr>
                                </pic:pic>
                              </a:graphicData>
                            </a:graphic>
                          </wp:inline>
                        </w:drawing>
                      </w:r>
                    </w:p>
                    <w:p w14:paraId="673DE615" w14:textId="77777777" w:rsidR="007A0B11" w:rsidRPr="00C35223" w:rsidRDefault="007A0B11" w:rsidP="00D87AB6">
                      <w:pPr>
                        <w:rPr>
                          <w:szCs w:val="20"/>
                        </w:rPr>
                      </w:pPr>
                    </w:p>
                  </w:txbxContent>
                </v:textbox>
                <w10:wrap type="square" anchorx="margin"/>
              </v:shape>
            </w:pict>
          </mc:Fallback>
        </mc:AlternateContent>
      </w:r>
    </w:p>
    <w:p w14:paraId="1713AEDB" w14:textId="77777777" w:rsidR="00465C63" w:rsidRPr="00FC6F8F" w:rsidRDefault="00465C63" w:rsidP="00A50E9C">
      <w:pPr>
        <w:pStyle w:val="PargrafodaLista"/>
        <w:numPr>
          <w:ilvl w:val="0"/>
          <w:numId w:val="16"/>
        </w:numPr>
        <w:spacing w:after="120"/>
        <w:rPr>
          <w:rFonts w:ascii="Tahoma" w:hAnsi="Tahoma" w:cs="Tahoma"/>
          <w:sz w:val="20"/>
        </w:rPr>
      </w:pPr>
      <w:r w:rsidRPr="00FC6F8F">
        <w:rPr>
          <w:rFonts w:ascii="Tahoma" w:hAnsi="Tahoma" w:cs="Tahoma"/>
          <w:sz w:val="20"/>
        </w:rPr>
        <w:t xml:space="preserve">Monitoramento e avaliação; </w:t>
      </w:r>
    </w:p>
    <w:p w14:paraId="6927C320" w14:textId="77777777" w:rsidR="00465C63" w:rsidRPr="00FC6F8F" w:rsidRDefault="00465C63" w:rsidP="00A50E9C">
      <w:pPr>
        <w:pStyle w:val="PargrafodaLista"/>
        <w:numPr>
          <w:ilvl w:val="0"/>
          <w:numId w:val="16"/>
        </w:numPr>
        <w:spacing w:after="120"/>
        <w:rPr>
          <w:rFonts w:ascii="Tahoma" w:hAnsi="Tahoma" w:cs="Tahoma"/>
          <w:sz w:val="20"/>
        </w:rPr>
      </w:pPr>
      <w:r w:rsidRPr="00FC6F8F">
        <w:rPr>
          <w:rFonts w:ascii="Tahoma" w:hAnsi="Tahoma" w:cs="Tahoma"/>
          <w:sz w:val="20"/>
        </w:rPr>
        <w:t xml:space="preserve">Identificação </w:t>
      </w:r>
      <w:r>
        <w:rPr>
          <w:rFonts w:ascii="Tahoma" w:hAnsi="Tahoma" w:cs="Tahoma"/>
          <w:sz w:val="20"/>
        </w:rPr>
        <w:t>do risco</w:t>
      </w:r>
      <w:r w:rsidRPr="00FC6F8F">
        <w:rPr>
          <w:rFonts w:ascii="Tahoma" w:hAnsi="Tahoma" w:cs="Tahoma"/>
          <w:sz w:val="20"/>
        </w:rPr>
        <w:t>;</w:t>
      </w:r>
    </w:p>
    <w:p w14:paraId="35758BFA" w14:textId="77777777" w:rsidR="00465C63" w:rsidRPr="00FC6F8F" w:rsidRDefault="00465C63" w:rsidP="00A50E9C">
      <w:pPr>
        <w:pStyle w:val="PargrafodaLista"/>
        <w:numPr>
          <w:ilvl w:val="0"/>
          <w:numId w:val="16"/>
        </w:numPr>
        <w:spacing w:after="120"/>
        <w:rPr>
          <w:rFonts w:ascii="Tahoma" w:hAnsi="Tahoma" w:cs="Tahoma"/>
          <w:sz w:val="20"/>
        </w:rPr>
      </w:pPr>
      <w:r w:rsidRPr="00FC6F8F">
        <w:rPr>
          <w:rFonts w:ascii="Tahoma" w:hAnsi="Tahoma" w:cs="Tahoma"/>
          <w:sz w:val="20"/>
        </w:rPr>
        <w:t>Comunicação interna;</w:t>
      </w:r>
    </w:p>
    <w:p w14:paraId="7987B821" w14:textId="77777777" w:rsidR="00465C63" w:rsidRDefault="00465C63" w:rsidP="00A50E9C">
      <w:pPr>
        <w:pStyle w:val="PargrafodaLista"/>
        <w:numPr>
          <w:ilvl w:val="0"/>
          <w:numId w:val="16"/>
        </w:numPr>
        <w:spacing w:after="120"/>
        <w:rPr>
          <w:rFonts w:ascii="Tahoma" w:hAnsi="Tahoma" w:cs="Tahoma"/>
          <w:sz w:val="20"/>
        </w:rPr>
      </w:pPr>
      <w:r w:rsidRPr="00FC6F8F">
        <w:rPr>
          <w:rFonts w:ascii="Tahoma" w:hAnsi="Tahoma" w:cs="Tahoma"/>
          <w:sz w:val="20"/>
        </w:rPr>
        <w:t>Ações retificadoras</w:t>
      </w:r>
      <w:r>
        <w:rPr>
          <w:rFonts w:ascii="Tahoma" w:hAnsi="Tahoma" w:cs="Tahoma"/>
          <w:sz w:val="20"/>
        </w:rPr>
        <w:t>.</w:t>
      </w:r>
    </w:p>
    <w:p w14:paraId="66AFC0AC" w14:textId="77777777" w:rsidR="00465C63" w:rsidRDefault="00465C63" w:rsidP="00A50E9C">
      <w:pPr>
        <w:spacing w:after="120" w:line="240" w:lineRule="auto"/>
        <w:jc w:val="center"/>
        <w:rPr>
          <w:rFonts w:ascii="Tahoma" w:hAnsi="Tahoma" w:cs="Tahoma"/>
          <w:sz w:val="20"/>
        </w:rPr>
      </w:pPr>
    </w:p>
    <w:p w14:paraId="7F7F7BE5" w14:textId="77777777" w:rsidR="00465C63" w:rsidRDefault="00465C63" w:rsidP="00A50E9C">
      <w:pPr>
        <w:spacing w:after="120" w:line="240" w:lineRule="auto"/>
        <w:jc w:val="center"/>
        <w:rPr>
          <w:rFonts w:ascii="Tahoma" w:hAnsi="Tahoma" w:cs="Tahoma"/>
          <w:sz w:val="20"/>
        </w:rPr>
      </w:pPr>
    </w:p>
    <w:p w14:paraId="58C0F23B" w14:textId="15C94980" w:rsidR="00465C63" w:rsidRPr="00BE6FCD" w:rsidRDefault="00465C63" w:rsidP="00A50E9C">
      <w:pPr>
        <w:spacing w:after="120" w:line="240" w:lineRule="auto"/>
        <w:ind w:firstLine="709"/>
        <w:jc w:val="right"/>
        <w:rPr>
          <w:rFonts w:ascii="Tahoma" w:hAnsi="Tahoma" w:cs="Tahoma"/>
          <w:sz w:val="12"/>
          <w:szCs w:val="14"/>
        </w:rPr>
      </w:pPr>
      <w:r w:rsidRPr="00BE6FCD">
        <w:rPr>
          <w:rFonts w:ascii="Tahoma" w:hAnsi="Tahoma" w:cs="Tahoma"/>
          <w:sz w:val="12"/>
          <w:szCs w:val="14"/>
        </w:rPr>
        <w:t>Se</w:t>
      </w:r>
      <w:r w:rsidR="00621CC7" w:rsidRPr="00BE6FCD">
        <w:rPr>
          <w:rFonts w:ascii="Tahoma" w:hAnsi="Tahoma" w:cs="Tahoma"/>
          <w:sz w:val="12"/>
          <w:szCs w:val="14"/>
        </w:rPr>
        <w:t>qu</w:t>
      </w:r>
      <w:r w:rsidRPr="00BE6FCD">
        <w:rPr>
          <w:rFonts w:ascii="Tahoma" w:hAnsi="Tahoma" w:cs="Tahoma"/>
          <w:sz w:val="12"/>
          <w:szCs w:val="14"/>
        </w:rPr>
        <w:t>ência de processos da metodologia do plano de contingência</w:t>
      </w:r>
    </w:p>
    <w:p w14:paraId="7D19ACF4" w14:textId="77777777" w:rsidR="00465C63" w:rsidRPr="00BE6FCD" w:rsidRDefault="00465C63" w:rsidP="00A50E9C">
      <w:pPr>
        <w:spacing w:after="120" w:line="240" w:lineRule="auto"/>
        <w:jc w:val="right"/>
        <w:rPr>
          <w:rFonts w:ascii="Tahoma" w:hAnsi="Tahoma" w:cs="Tahoma"/>
          <w:sz w:val="20"/>
        </w:rPr>
      </w:pPr>
    </w:p>
    <w:p w14:paraId="56B5C32E" w14:textId="3D18DA8B" w:rsidR="00465C63" w:rsidRPr="00BE6FCD" w:rsidRDefault="00465C63" w:rsidP="00AD12FB">
      <w:pPr>
        <w:spacing w:after="120"/>
        <w:ind w:firstLine="709"/>
        <w:jc w:val="both"/>
        <w:rPr>
          <w:rFonts w:ascii="Tahoma" w:hAnsi="Tahoma" w:cs="Tahoma"/>
          <w:sz w:val="20"/>
        </w:rPr>
      </w:pPr>
      <w:r w:rsidRPr="00BE6FCD">
        <w:rPr>
          <w:rFonts w:ascii="Tahoma" w:hAnsi="Tahoma" w:cs="Tahoma"/>
          <w:sz w:val="20"/>
        </w:rPr>
        <w:t>O</w:t>
      </w:r>
      <w:r w:rsidR="00C01C06" w:rsidRPr="00BE6FCD">
        <w:rPr>
          <w:rFonts w:ascii="Tahoma" w:hAnsi="Tahoma" w:cs="Tahoma"/>
          <w:sz w:val="20"/>
        </w:rPr>
        <w:t xml:space="preserve"> fundo de previdência do</w:t>
      </w:r>
      <w:r w:rsidRPr="00BE6FCD">
        <w:rPr>
          <w:rFonts w:ascii="Tahoma" w:hAnsi="Tahoma" w:cs="Tahoma"/>
          <w:sz w:val="20"/>
        </w:rPr>
        <w:t xml:space="preserve"> </w:t>
      </w:r>
      <w:r w:rsidR="002670EA" w:rsidRPr="00BE6FCD">
        <w:rPr>
          <w:rFonts w:ascii="Tahoma" w:hAnsi="Tahoma" w:cs="Tahoma"/>
          <w:b/>
          <w:bCs/>
          <w:sz w:val="20"/>
        </w:rPr>
        <w:fldChar w:fldCharType="begin"/>
      </w:r>
      <w:r w:rsidR="002670EA" w:rsidRPr="00BE6FCD">
        <w:rPr>
          <w:rFonts w:ascii="Tahoma" w:hAnsi="Tahoma" w:cs="Tahoma"/>
          <w:b/>
          <w:bCs/>
          <w:sz w:val="20"/>
        </w:rPr>
        <w:instrText xml:space="preserve"> MERGEFIELD RPPS </w:instrText>
      </w:r>
      <w:r w:rsidR="002670EA" w:rsidRPr="00BE6FCD">
        <w:rPr>
          <w:rFonts w:ascii="Tahoma" w:hAnsi="Tahoma" w:cs="Tahoma"/>
          <w:b/>
          <w:bCs/>
          <w:sz w:val="20"/>
        </w:rPr>
        <w:fldChar w:fldCharType="separate"/>
      </w:r>
      <w:r w:rsidR="00A14265" w:rsidRPr="00BC514D">
        <w:rPr>
          <w:rFonts w:ascii="Tahoma" w:hAnsi="Tahoma" w:cs="Tahoma"/>
          <w:b/>
          <w:bCs/>
          <w:noProof/>
          <w:sz w:val="20"/>
        </w:rPr>
        <w:t>MUNICÍPIO DE TRIUNFO</w:t>
      </w:r>
      <w:r w:rsidR="002670EA" w:rsidRPr="00BE6FCD">
        <w:rPr>
          <w:rFonts w:ascii="Tahoma" w:hAnsi="Tahoma" w:cs="Tahoma"/>
          <w:b/>
          <w:bCs/>
          <w:sz w:val="20"/>
        </w:rPr>
        <w:fldChar w:fldCharType="end"/>
      </w:r>
      <w:r w:rsidRPr="00BE6FCD">
        <w:rPr>
          <w:rFonts w:ascii="Tahoma" w:hAnsi="Tahoma" w:cs="Tahoma"/>
          <w:sz w:val="20"/>
        </w:rPr>
        <w:t xml:space="preserve"> estabelece que poderá adotar os procedimentos relacionados, visando readequar a carteira de investimento</w:t>
      </w:r>
      <w:r w:rsidR="00621CC7" w:rsidRPr="00BE6FCD">
        <w:rPr>
          <w:rFonts w:ascii="Tahoma" w:hAnsi="Tahoma" w:cs="Tahoma"/>
          <w:sz w:val="20"/>
        </w:rPr>
        <w:t>s</w:t>
      </w:r>
      <w:r w:rsidRPr="00BE6FCD">
        <w:rPr>
          <w:rFonts w:ascii="Tahoma" w:hAnsi="Tahoma" w:cs="Tahoma"/>
          <w:sz w:val="20"/>
        </w:rPr>
        <w:t xml:space="preserve"> </w:t>
      </w:r>
      <w:r w:rsidR="005731B7" w:rsidRPr="00BE6FCD">
        <w:rPr>
          <w:rFonts w:ascii="Tahoma" w:hAnsi="Tahoma" w:cs="Tahoma"/>
          <w:sz w:val="20"/>
        </w:rPr>
        <w:t>à</w:t>
      </w:r>
      <w:r w:rsidRPr="00BE6FCD">
        <w:rPr>
          <w:rFonts w:ascii="Tahoma" w:hAnsi="Tahoma" w:cs="Tahoma"/>
          <w:sz w:val="20"/>
        </w:rPr>
        <w:t xml:space="preserve"> legislação e normas desta </w:t>
      </w:r>
      <w:r w:rsidR="007A0B11" w:rsidRPr="00BE6FCD">
        <w:rPr>
          <w:rFonts w:ascii="Tahoma" w:hAnsi="Tahoma" w:cs="Tahoma"/>
          <w:sz w:val="20"/>
        </w:rPr>
        <w:t>Política de Investimentos</w:t>
      </w:r>
      <w:r w:rsidRPr="00BE6FCD">
        <w:rPr>
          <w:rFonts w:ascii="Tahoma" w:hAnsi="Tahoma" w:cs="Tahoma"/>
          <w:sz w:val="20"/>
        </w:rPr>
        <w:t>:</w:t>
      </w:r>
    </w:p>
    <w:p w14:paraId="160DA390" w14:textId="77777777" w:rsidR="00465C63" w:rsidRPr="00BE6FCD" w:rsidRDefault="00465C63" w:rsidP="00AD12FB">
      <w:pPr>
        <w:spacing w:after="120"/>
        <w:ind w:firstLine="709"/>
        <w:rPr>
          <w:rFonts w:ascii="Tahoma" w:hAnsi="Tahoma" w:cs="Tahoma"/>
          <w:sz w:val="20"/>
        </w:rPr>
      </w:pPr>
    </w:p>
    <w:p w14:paraId="24489BB6" w14:textId="5612D04C" w:rsidR="00465C63" w:rsidRPr="005A2CDA" w:rsidRDefault="00465C63" w:rsidP="00AD12FB">
      <w:pPr>
        <w:spacing w:after="120"/>
        <w:ind w:firstLine="709"/>
        <w:jc w:val="both"/>
        <w:rPr>
          <w:rFonts w:ascii="Tahoma" w:hAnsi="Tahoma" w:cs="Tahoma"/>
          <w:sz w:val="20"/>
        </w:rPr>
      </w:pPr>
      <w:r w:rsidRPr="00BE6FCD">
        <w:rPr>
          <w:rFonts w:ascii="Tahoma" w:hAnsi="Tahoma" w:cs="Tahoma"/>
          <w:i/>
          <w:iCs/>
          <w:sz w:val="20"/>
          <w:u w:val="single"/>
        </w:rPr>
        <w:t>Descumprimento dos limites e requisitos</w:t>
      </w:r>
      <w:r w:rsidRPr="00E168FF">
        <w:rPr>
          <w:rFonts w:ascii="Tahoma" w:hAnsi="Tahoma" w:cs="Tahoma"/>
          <w:i/>
          <w:iCs/>
          <w:sz w:val="20"/>
          <w:u w:val="single"/>
        </w:rPr>
        <w:t xml:space="preserve"> da legislação vigente ou da </w:t>
      </w:r>
      <w:r w:rsidR="007A0B11">
        <w:rPr>
          <w:rFonts w:ascii="Tahoma" w:hAnsi="Tahoma" w:cs="Tahoma"/>
          <w:i/>
          <w:iCs/>
          <w:sz w:val="20"/>
          <w:u w:val="single"/>
        </w:rPr>
        <w:t>Política de Investimentos</w:t>
      </w:r>
      <w:r w:rsidRPr="005A2CDA">
        <w:rPr>
          <w:rFonts w:ascii="Tahoma" w:hAnsi="Tahoma" w:cs="Tahoma"/>
          <w:sz w:val="20"/>
        </w:rPr>
        <w:t>: Será efetuada a regularização logo após identificação do</w:t>
      </w:r>
      <w:r>
        <w:rPr>
          <w:rFonts w:ascii="Tahoma" w:hAnsi="Tahoma" w:cs="Tahoma"/>
          <w:sz w:val="20"/>
        </w:rPr>
        <w:t xml:space="preserve"> </w:t>
      </w:r>
      <w:r w:rsidRPr="005A2CDA">
        <w:rPr>
          <w:rFonts w:ascii="Tahoma" w:hAnsi="Tahoma" w:cs="Tahoma"/>
          <w:sz w:val="20"/>
        </w:rPr>
        <w:t>descumprimento à legislação vigente, com movimentações dos recursos,</w:t>
      </w:r>
      <w:r>
        <w:rPr>
          <w:rFonts w:ascii="Tahoma" w:hAnsi="Tahoma" w:cs="Tahoma"/>
          <w:sz w:val="20"/>
        </w:rPr>
        <w:t xml:space="preserve"> </w:t>
      </w:r>
      <w:r w:rsidRPr="005A2CDA">
        <w:rPr>
          <w:rFonts w:ascii="Tahoma" w:hAnsi="Tahoma" w:cs="Tahoma"/>
          <w:sz w:val="20"/>
        </w:rPr>
        <w:t>observando o estabelecido no ite</w:t>
      </w:r>
      <w:r>
        <w:rPr>
          <w:rFonts w:ascii="Tahoma" w:hAnsi="Tahoma" w:cs="Tahoma"/>
          <w:sz w:val="20"/>
        </w:rPr>
        <w:t xml:space="preserve">m “Aspectos Legais”, nas </w:t>
      </w:r>
      <w:r w:rsidRPr="005A2CDA">
        <w:rPr>
          <w:rFonts w:ascii="Tahoma" w:hAnsi="Tahoma" w:cs="Tahoma"/>
          <w:sz w:val="20"/>
        </w:rPr>
        <w:t>Estratégias de Investimentos</w:t>
      </w:r>
      <w:r>
        <w:rPr>
          <w:rFonts w:ascii="Tahoma" w:hAnsi="Tahoma" w:cs="Tahoma"/>
          <w:sz w:val="20"/>
        </w:rPr>
        <w:t xml:space="preserve"> e</w:t>
      </w:r>
      <w:r w:rsidRPr="005A2CDA">
        <w:rPr>
          <w:rFonts w:ascii="Tahoma" w:hAnsi="Tahoma" w:cs="Tahoma"/>
          <w:sz w:val="20"/>
        </w:rPr>
        <w:t xml:space="preserve"> Vedações, visando evitar perda de</w:t>
      </w:r>
      <w:r>
        <w:rPr>
          <w:rFonts w:ascii="Tahoma" w:hAnsi="Tahoma" w:cs="Tahoma"/>
          <w:sz w:val="20"/>
        </w:rPr>
        <w:t xml:space="preserve"> </w:t>
      </w:r>
      <w:r w:rsidRPr="005A2CDA">
        <w:rPr>
          <w:rFonts w:ascii="Tahoma" w:hAnsi="Tahoma" w:cs="Tahoma"/>
          <w:sz w:val="20"/>
        </w:rPr>
        <w:t>rentabilidade ou exposição desnecessária a qualquer tipo de risco.</w:t>
      </w:r>
    </w:p>
    <w:p w14:paraId="108A6B23" w14:textId="3C85B37B" w:rsidR="00465C63" w:rsidRPr="005A2CDA" w:rsidRDefault="00465C63" w:rsidP="00AD12FB">
      <w:pPr>
        <w:spacing w:after="120"/>
        <w:ind w:firstLine="709"/>
        <w:jc w:val="both"/>
        <w:rPr>
          <w:rFonts w:ascii="Tahoma" w:hAnsi="Tahoma" w:cs="Tahoma"/>
          <w:sz w:val="20"/>
        </w:rPr>
      </w:pPr>
      <w:r w:rsidRPr="00E168FF">
        <w:rPr>
          <w:rFonts w:ascii="Tahoma" w:hAnsi="Tahoma" w:cs="Tahoma"/>
          <w:i/>
          <w:iCs/>
          <w:sz w:val="20"/>
          <w:u w:val="single"/>
        </w:rPr>
        <w:t xml:space="preserve">Excessiva exposição </w:t>
      </w:r>
      <w:r w:rsidR="005731B7">
        <w:rPr>
          <w:rFonts w:ascii="Tahoma" w:hAnsi="Tahoma" w:cs="Tahoma"/>
          <w:i/>
          <w:iCs/>
          <w:sz w:val="20"/>
          <w:u w:val="single"/>
        </w:rPr>
        <w:t>à</w:t>
      </w:r>
      <w:r w:rsidRPr="00E168FF">
        <w:rPr>
          <w:rFonts w:ascii="Tahoma" w:hAnsi="Tahoma" w:cs="Tahoma"/>
          <w:i/>
          <w:iCs/>
          <w:sz w:val="20"/>
          <w:u w:val="single"/>
        </w:rPr>
        <w:t xml:space="preserve"> riscos ou de potenciais perdas dos recursos</w:t>
      </w:r>
      <w:r w:rsidRPr="005A2CDA">
        <w:rPr>
          <w:rFonts w:ascii="Tahoma" w:hAnsi="Tahoma" w:cs="Tahoma"/>
          <w:sz w:val="20"/>
        </w:rPr>
        <w:t>: Caso os</w:t>
      </w:r>
      <w:r>
        <w:rPr>
          <w:rFonts w:ascii="Tahoma" w:hAnsi="Tahoma" w:cs="Tahoma"/>
          <w:sz w:val="20"/>
        </w:rPr>
        <w:t xml:space="preserve"> </w:t>
      </w:r>
      <w:r w:rsidRPr="005A2CDA">
        <w:rPr>
          <w:rFonts w:ascii="Tahoma" w:hAnsi="Tahoma" w:cs="Tahoma"/>
          <w:sz w:val="20"/>
        </w:rPr>
        <w:t>responsáveis pela gestão dos recursos do RPPS percebam a existência de</w:t>
      </w:r>
      <w:r>
        <w:rPr>
          <w:rFonts w:ascii="Tahoma" w:hAnsi="Tahoma" w:cs="Tahoma"/>
          <w:sz w:val="20"/>
        </w:rPr>
        <w:t xml:space="preserve"> </w:t>
      </w:r>
      <w:r w:rsidRPr="005A2CDA">
        <w:rPr>
          <w:rFonts w:ascii="Tahoma" w:hAnsi="Tahoma" w:cs="Tahoma"/>
          <w:sz w:val="20"/>
        </w:rPr>
        <w:t>fatores que possam aumentar a exposição do risco de mercado, de crédito e</w:t>
      </w:r>
      <w:r>
        <w:rPr>
          <w:rFonts w:ascii="Tahoma" w:hAnsi="Tahoma" w:cs="Tahoma"/>
          <w:sz w:val="20"/>
        </w:rPr>
        <w:t xml:space="preserve"> </w:t>
      </w:r>
      <w:r w:rsidRPr="005A2CDA">
        <w:rPr>
          <w:rFonts w:ascii="Tahoma" w:hAnsi="Tahoma" w:cs="Tahoma"/>
          <w:sz w:val="20"/>
        </w:rPr>
        <w:t xml:space="preserve">de liquidez, com potencial perda de recursos da carteira, será efetuada </w:t>
      </w:r>
      <w:r w:rsidRPr="005A2CDA">
        <w:rPr>
          <w:rFonts w:ascii="Tahoma" w:hAnsi="Tahoma" w:cs="Tahoma"/>
          <w:sz w:val="20"/>
        </w:rPr>
        <w:lastRenderedPageBreak/>
        <w:t>uma</w:t>
      </w:r>
      <w:r>
        <w:rPr>
          <w:rFonts w:ascii="Tahoma" w:hAnsi="Tahoma" w:cs="Tahoma"/>
          <w:sz w:val="20"/>
        </w:rPr>
        <w:t xml:space="preserve"> </w:t>
      </w:r>
      <w:r w:rsidRPr="005A2CDA">
        <w:rPr>
          <w:rFonts w:ascii="Tahoma" w:hAnsi="Tahoma" w:cs="Tahoma"/>
          <w:sz w:val="20"/>
        </w:rPr>
        <w:t>análise da carteira em reunião com os responsáveis diretos pelos</w:t>
      </w:r>
      <w:r>
        <w:rPr>
          <w:rFonts w:ascii="Tahoma" w:hAnsi="Tahoma" w:cs="Tahoma"/>
          <w:sz w:val="20"/>
        </w:rPr>
        <w:t xml:space="preserve"> </w:t>
      </w:r>
      <w:r w:rsidRPr="005A2CDA">
        <w:rPr>
          <w:rFonts w:ascii="Tahoma" w:hAnsi="Tahoma" w:cs="Tahoma"/>
          <w:sz w:val="20"/>
        </w:rPr>
        <w:t>investimentos do RPPS para avaliação do ajuste necessário.</w:t>
      </w:r>
    </w:p>
    <w:p w14:paraId="293CE546" w14:textId="6C76885D" w:rsidR="00465C63" w:rsidRDefault="00465C63" w:rsidP="00AD12FB">
      <w:pPr>
        <w:spacing w:after="120"/>
        <w:ind w:firstLine="709"/>
        <w:jc w:val="both"/>
        <w:rPr>
          <w:rFonts w:ascii="Tahoma" w:hAnsi="Tahoma" w:cs="Tahoma"/>
          <w:sz w:val="20"/>
        </w:rPr>
      </w:pPr>
      <w:r w:rsidRPr="00E168FF">
        <w:rPr>
          <w:rFonts w:ascii="Tahoma" w:hAnsi="Tahoma" w:cs="Tahoma"/>
          <w:i/>
          <w:iCs/>
          <w:sz w:val="20"/>
          <w:u w:val="single"/>
        </w:rPr>
        <w:t>Ultrapassado</w:t>
      </w:r>
      <w:r w:rsidR="005D3A43">
        <w:rPr>
          <w:rFonts w:ascii="Tahoma" w:hAnsi="Tahoma" w:cs="Tahoma"/>
          <w:i/>
          <w:iCs/>
          <w:sz w:val="20"/>
          <w:u w:val="single"/>
        </w:rPr>
        <w:t>s</w:t>
      </w:r>
      <w:r w:rsidRPr="00E168FF">
        <w:rPr>
          <w:rFonts w:ascii="Tahoma" w:hAnsi="Tahoma" w:cs="Tahoma"/>
          <w:i/>
          <w:iCs/>
          <w:sz w:val="20"/>
          <w:u w:val="single"/>
        </w:rPr>
        <w:t xml:space="preserve"> os limites de VOL e</w:t>
      </w:r>
      <w:r w:rsidR="009B0408">
        <w:rPr>
          <w:rFonts w:ascii="Tahoma" w:hAnsi="Tahoma" w:cs="Tahoma"/>
          <w:i/>
          <w:iCs/>
          <w:sz w:val="20"/>
          <w:u w:val="single"/>
        </w:rPr>
        <w:t>/ou</w:t>
      </w:r>
      <w:r w:rsidRPr="00E168FF">
        <w:rPr>
          <w:rFonts w:ascii="Tahoma" w:hAnsi="Tahoma" w:cs="Tahoma"/>
          <w:i/>
          <w:iCs/>
          <w:sz w:val="20"/>
          <w:u w:val="single"/>
        </w:rPr>
        <w:t xml:space="preserve"> VAR</w:t>
      </w:r>
      <w:r w:rsidR="009B0408">
        <w:rPr>
          <w:rFonts w:ascii="Tahoma" w:hAnsi="Tahoma" w:cs="Tahoma"/>
          <w:i/>
          <w:iCs/>
          <w:sz w:val="20"/>
          <w:u w:val="single"/>
        </w:rPr>
        <w:t xml:space="preserve"> (aceite de risco)</w:t>
      </w:r>
      <w:r w:rsidRPr="005A2CDA">
        <w:rPr>
          <w:rFonts w:ascii="Tahoma" w:hAnsi="Tahoma" w:cs="Tahoma"/>
          <w:sz w:val="20"/>
        </w:rPr>
        <w:t xml:space="preserve">: O gestor de recursos do </w:t>
      </w:r>
      <w:r w:rsidR="00C01C06">
        <w:rPr>
          <w:rFonts w:ascii="Tahoma" w:hAnsi="Tahoma" w:cs="Tahoma"/>
          <w:b/>
          <w:bCs/>
          <w:sz w:val="20"/>
        </w:rPr>
        <w:fldChar w:fldCharType="begin"/>
      </w:r>
      <w:r w:rsidR="00C01C06">
        <w:rPr>
          <w:rFonts w:ascii="Tahoma" w:hAnsi="Tahoma" w:cs="Tahoma"/>
          <w:b/>
          <w:bCs/>
          <w:sz w:val="20"/>
        </w:rPr>
        <w:instrText xml:space="preserve"> MERGEFIELD TP </w:instrText>
      </w:r>
      <w:r w:rsidR="00C01C06">
        <w:rPr>
          <w:rFonts w:ascii="Tahoma" w:hAnsi="Tahoma" w:cs="Tahoma"/>
          <w:b/>
          <w:bCs/>
          <w:sz w:val="20"/>
        </w:rPr>
        <w:fldChar w:fldCharType="separate"/>
      </w:r>
      <w:r w:rsidR="00A14265" w:rsidRPr="00BC514D">
        <w:rPr>
          <w:rFonts w:ascii="Tahoma" w:hAnsi="Tahoma" w:cs="Tahoma"/>
          <w:b/>
          <w:bCs/>
          <w:noProof/>
          <w:sz w:val="20"/>
        </w:rPr>
        <w:t>FAPETRI</w:t>
      </w:r>
      <w:r w:rsidR="00C01C06">
        <w:rPr>
          <w:rFonts w:ascii="Tahoma" w:hAnsi="Tahoma" w:cs="Tahoma"/>
          <w:b/>
          <w:bCs/>
          <w:sz w:val="20"/>
        </w:rPr>
        <w:fldChar w:fldCharType="end"/>
      </w:r>
      <w:r w:rsidRPr="005A2CDA">
        <w:rPr>
          <w:rFonts w:ascii="Tahoma" w:hAnsi="Tahoma" w:cs="Tahoma"/>
          <w:sz w:val="20"/>
        </w:rPr>
        <w:t xml:space="preserve"> deve</w:t>
      </w:r>
      <w:r>
        <w:rPr>
          <w:rFonts w:ascii="Tahoma" w:hAnsi="Tahoma" w:cs="Tahoma"/>
          <w:sz w:val="20"/>
        </w:rPr>
        <w:t xml:space="preserve"> </w:t>
      </w:r>
      <w:r w:rsidRPr="005A2CDA">
        <w:rPr>
          <w:rFonts w:ascii="Tahoma" w:hAnsi="Tahoma" w:cs="Tahoma"/>
          <w:sz w:val="20"/>
        </w:rPr>
        <w:t xml:space="preserve">convocar o </w:t>
      </w:r>
      <w:r w:rsidR="00C01C06">
        <w:rPr>
          <w:rFonts w:ascii="Tahoma" w:hAnsi="Tahoma" w:cs="Tahoma"/>
          <w:b/>
          <w:bCs/>
          <w:sz w:val="20"/>
        </w:rPr>
        <w:fldChar w:fldCharType="begin"/>
      </w:r>
      <w:r w:rsidR="00C01C06">
        <w:rPr>
          <w:rFonts w:ascii="Tahoma" w:hAnsi="Tahoma" w:cs="Tahoma"/>
          <w:b/>
          <w:bCs/>
          <w:sz w:val="20"/>
        </w:rPr>
        <w:instrText xml:space="preserve"> MERGEFIELD COMITÊ </w:instrText>
      </w:r>
      <w:r w:rsidR="00C01C06">
        <w:rPr>
          <w:rFonts w:ascii="Tahoma" w:hAnsi="Tahoma" w:cs="Tahoma"/>
          <w:b/>
          <w:bCs/>
          <w:sz w:val="20"/>
        </w:rPr>
        <w:fldChar w:fldCharType="separate"/>
      </w:r>
      <w:r w:rsidR="00A14265" w:rsidRPr="00BC514D">
        <w:rPr>
          <w:rFonts w:ascii="Tahoma" w:hAnsi="Tahoma" w:cs="Tahoma"/>
          <w:b/>
          <w:bCs/>
          <w:noProof/>
          <w:sz w:val="20"/>
        </w:rPr>
        <w:t>COMITÊ DE INVESTIMENTOS</w:t>
      </w:r>
      <w:r w:rsidR="00C01C06">
        <w:rPr>
          <w:rFonts w:ascii="Tahoma" w:hAnsi="Tahoma" w:cs="Tahoma"/>
          <w:b/>
          <w:bCs/>
          <w:sz w:val="20"/>
        </w:rPr>
        <w:fldChar w:fldCharType="end"/>
      </w:r>
      <w:r w:rsidRPr="005A2CDA">
        <w:rPr>
          <w:rFonts w:ascii="Tahoma" w:hAnsi="Tahoma" w:cs="Tahoma"/>
          <w:sz w:val="20"/>
        </w:rPr>
        <w:t xml:space="preserve">, em até </w:t>
      </w:r>
      <w:r w:rsidR="00891784">
        <w:rPr>
          <w:rFonts w:ascii="Tahoma" w:hAnsi="Tahoma" w:cs="Tahoma"/>
          <w:sz w:val="20"/>
        </w:rPr>
        <w:t>10</w:t>
      </w:r>
      <w:r w:rsidRPr="005A2CDA">
        <w:rPr>
          <w:rFonts w:ascii="Tahoma" w:hAnsi="Tahoma" w:cs="Tahoma"/>
          <w:sz w:val="20"/>
        </w:rPr>
        <w:t xml:space="preserve"> dias úteis da divulgação do último relatório</w:t>
      </w:r>
      <w:r w:rsidR="009B0408">
        <w:rPr>
          <w:rFonts w:ascii="Tahoma" w:hAnsi="Tahoma" w:cs="Tahoma"/>
          <w:sz w:val="20"/>
        </w:rPr>
        <w:t xml:space="preserve"> (relatório mensal ou trimestral de risco)</w:t>
      </w:r>
      <w:r w:rsidRPr="005A2CDA">
        <w:rPr>
          <w:rFonts w:ascii="Tahoma" w:hAnsi="Tahoma" w:cs="Tahoma"/>
          <w:sz w:val="20"/>
        </w:rPr>
        <w:t>, para</w:t>
      </w:r>
      <w:r>
        <w:rPr>
          <w:rFonts w:ascii="Tahoma" w:hAnsi="Tahoma" w:cs="Tahoma"/>
          <w:sz w:val="20"/>
        </w:rPr>
        <w:t xml:space="preserve"> </w:t>
      </w:r>
      <w:r w:rsidRPr="005A2CDA">
        <w:rPr>
          <w:rFonts w:ascii="Tahoma" w:hAnsi="Tahoma" w:cs="Tahoma"/>
          <w:sz w:val="20"/>
        </w:rPr>
        <w:t>definição das medidas necessárias para sanar o desenquadramento do risco</w:t>
      </w:r>
      <w:r>
        <w:rPr>
          <w:rFonts w:ascii="Tahoma" w:hAnsi="Tahoma" w:cs="Tahoma"/>
          <w:sz w:val="20"/>
        </w:rPr>
        <w:t xml:space="preserve"> </w:t>
      </w:r>
      <w:r w:rsidRPr="005A2CDA">
        <w:rPr>
          <w:rFonts w:ascii="Tahoma" w:hAnsi="Tahoma" w:cs="Tahoma"/>
          <w:sz w:val="20"/>
        </w:rPr>
        <w:t>estipulado</w:t>
      </w:r>
      <w:r>
        <w:rPr>
          <w:rFonts w:ascii="Tahoma" w:hAnsi="Tahoma" w:cs="Tahoma"/>
          <w:sz w:val="20"/>
        </w:rPr>
        <w:t xml:space="preserve">. Considerando o monitoramento dos investimentos. </w:t>
      </w:r>
    </w:p>
    <w:p w14:paraId="203473D1" w14:textId="7B74F4F1" w:rsidR="00465C63" w:rsidRDefault="00741B21" w:rsidP="00AD12FB">
      <w:pPr>
        <w:spacing w:after="120"/>
        <w:ind w:firstLine="709"/>
        <w:jc w:val="both"/>
        <w:rPr>
          <w:rFonts w:ascii="Tahoma" w:hAnsi="Tahoma" w:cs="Tahoma"/>
          <w:sz w:val="20"/>
        </w:rPr>
      </w:pPr>
      <w:r w:rsidRPr="00741B21">
        <w:rPr>
          <w:rFonts w:ascii="Tahoma" w:hAnsi="Tahoma" w:cs="Tahoma"/>
          <w:sz w:val="20"/>
        </w:rPr>
        <w:t xml:space="preserve">As contingências refletem fatos potenciais capazes de afetar o Patrimônio do RPPS e dependem da ocorrência ou não de inúmeros fenômenos. O modelo de plano adotado contempla a possibilidade diante da conjuntura atual dos recursos destinados ao fundo com base na análise histórica do RPPS. Não obstante, outras contingências podem vir a ocorrer e não terem sido objeto de previsão para o ano de </w:t>
      </w:r>
      <w:r w:rsidR="005D3A43">
        <w:rPr>
          <w:rFonts w:ascii="Tahoma" w:hAnsi="Tahoma" w:cs="Tahoma"/>
          <w:b/>
          <w:bCs/>
          <w:sz w:val="20"/>
        </w:rPr>
        <w:t>2025</w:t>
      </w:r>
      <w:r w:rsidRPr="00741B21">
        <w:rPr>
          <w:rFonts w:ascii="Tahoma" w:hAnsi="Tahoma" w:cs="Tahoma"/>
          <w:sz w:val="20"/>
        </w:rPr>
        <w:t>, devendo ser tratados conjuntamente pelo</w:t>
      </w:r>
      <w:r w:rsidR="009B0408">
        <w:rPr>
          <w:rFonts w:ascii="Tahoma" w:hAnsi="Tahoma" w:cs="Tahoma"/>
          <w:sz w:val="20"/>
        </w:rPr>
        <w:t xml:space="preserve">s gestores do </w:t>
      </w:r>
      <w:r w:rsidR="009B0408">
        <w:rPr>
          <w:rFonts w:ascii="Tahoma" w:hAnsi="Tahoma" w:cs="Tahoma"/>
          <w:b/>
          <w:bCs/>
          <w:sz w:val="20"/>
        </w:rPr>
        <w:fldChar w:fldCharType="begin"/>
      </w:r>
      <w:r w:rsidR="009B0408">
        <w:rPr>
          <w:rFonts w:ascii="Tahoma" w:hAnsi="Tahoma" w:cs="Tahoma"/>
          <w:b/>
          <w:bCs/>
          <w:sz w:val="20"/>
        </w:rPr>
        <w:instrText xml:space="preserve"> MERGEFIELD TP </w:instrText>
      </w:r>
      <w:r w:rsidR="009B0408">
        <w:rPr>
          <w:rFonts w:ascii="Tahoma" w:hAnsi="Tahoma" w:cs="Tahoma"/>
          <w:b/>
          <w:bCs/>
          <w:sz w:val="20"/>
        </w:rPr>
        <w:fldChar w:fldCharType="separate"/>
      </w:r>
      <w:r w:rsidR="00A14265" w:rsidRPr="00BC514D">
        <w:rPr>
          <w:rFonts w:ascii="Tahoma" w:hAnsi="Tahoma" w:cs="Tahoma"/>
          <w:b/>
          <w:bCs/>
          <w:noProof/>
          <w:sz w:val="20"/>
        </w:rPr>
        <w:t>FAPETRI</w:t>
      </w:r>
      <w:r w:rsidR="009B0408">
        <w:rPr>
          <w:rFonts w:ascii="Tahoma" w:hAnsi="Tahoma" w:cs="Tahoma"/>
          <w:b/>
          <w:bCs/>
          <w:sz w:val="20"/>
        </w:rPr>
        <w:fldChar w:fldCharType="end"/>
      </w:r>
      <w:r w:rsidRPr="00741B21">
        <w:rPr>
          <w:rFonts w:ascii="Tahoma" w:hAnsi="Tahoma" w:cs="Tahoma"/>
          <w:sz w:val="20"/>
        </w:rPr>
        <w:t>.</w:t>
      </w:r>
    </w:p>
    <w:p w14:paraId="5960B9B7" w14:textId="77777777" w:rsidR="00AD12FB" w:rsidRDefault="00AD12FB">
      <w:r>
        <w:br w:type="page"/>
      </w:r>
    </w:p>
    <w:bookmarkStart w:id="31" w:name="_Toc181542577"/>
    <w:p w14:paraId="58153E0F" w14:textId="437E2510" w:rsidR="00465C63" w:rsidRPr="00E8601E" w:rsidRDefault="00AD12FB" w:rsidP="00A50E9C">
      <w:pPr>
        <w:spacing w:after="120"/>
        <w:jc w:val="both"/>
        <w:outlineLvl w:val="0"/>
        <w:rPr>
          <w:sz w:val="20"/>
        </w:rPr>
      </w:pPr>
      <w:r w:rsidRPr="00E4782B">
        <w:object w:dxaOrig="2425" w:dyaOrig="2598" w14:anchorId="3DA9B229">
          <v:shape id="_x0000_i1066" type="#_x0000_t75" style="width:9.75pt;height:9pt" o:ole="">
            <v:imagedata r:id="rId11" o:title=""/>
          </v:shape>
          <o:OLEObject Type="Embed" ProgID="CorelDRAW.Graphic.13" ShapeID="_x0000_i1066" DrawAspect="Content" ObjectID="_1793685939" r:id="rId67"/>
        </w:object>
      </w:r>
      <w:r w:rsidR="00465C63" w:rsidRPr="00E8601E">
        <w:rPr>
          <w:rStyle w:val="Ttulo1Char"/>
          <w:sz w:val="22"/>
        </w:rPr>
        <w:t>DIRETRIZES PARA ALOCAÇÃO DOS RECURSOS</w:t>
      </w:r>
      <w:r w:rsidR="00465C63" w:rsidRPr="00E8601E">
        <w:rPr>
          <w:rFonts w:ascii="Tahoma" w:hAnsi="Tahoma" w:cs="Tahoma"/>
          <w:b/>
          <w:color w:val="002060"/>
          <w:szCs w:val="24"/>
        </w:rPr>
        <w:t xml:space="preserve"> </w:t>
      </w:r>
      <w:bookmarkEnd w:id="31"/>
      <w:r w:rsidR="00465C63" w:rsidRPr="00E8601E">
        <w:rPr>
          <w:sz w:val="20"/>
        </w:rPr>
        <w:object w:dxaOrig="3163" w:dyaOrig="3187" w14:anchorId="6D34C7D2">
          <v:shape id="_x0000_i1067" type="#_x0000_t75" style="width:21.75pt;height:23.25pt" o:ole="">
            <v:imagedata r:id="rId13" o:title=""/>
          </v:shape>
          <o:OLEObject Type="Embed" ProgID="CorelDRAW.Graphic.13" ShapeID="_x0000_i1067" DrawAspect="Content" ObjectID="_1793685940" r:id="rId68"/>
        </w:object>
      </w:r>
    </w:p>
    <w:p w14:paraId="3478BA50" w14:textId="77777777" w:rsidR="00333690" w:rsidRDefault="00333690" w:rsidP="00A50E9C">
      <w:pPr>
        <w:pStyle w:val="Ttulo2"/>
        <w:spacing w:after="120"/>
        <w:rPr>
          <w:rFonts w:ascii="Tahoma" w:eastAsiaTheme="minorEastAsia" w:hAnsi="Tahoma" w:cs="Tahoma"/>
          <w:b/>
          <w:color w:val="auto"/>
          <w:sz w:val="20"/>
          <w:szCs w:val="22"/>
        </w:rPr>
      </w:pPr>
    </w:p>
    <w:p w14:paraId="46FFC894" w14:textId="6ABB74B2" w:rsidR="00465C63" w:rsidRPr="00E8601E" w:rsidRDefault="00465C63" w:rsidP="00EC5FD6">
      <w:pPr>
        <w:pStyle w:val="Ttulo2"/>
        <w:spacing w:after="120"/>
        <w:rPr>
          <w:rFonts w:ascii="Tahoma" w:eastAsiaTheme="minorEastAsia" w:hAnsi="Tahoma" w:cs="Tahoma"/>
          <w:b/>
          <w:color w:val="auto"/>
          <w:sz w:val="20"/>
          <w:szCs w:val="22"/>
        </w:rPr>
      </w:pPr>
      <w:bookmarkStart w:id="32" w:name="_Toc181542578"/>
      <w:r w:rsidRPr="00E8601E">
        <w:rPr>
          <w:rFonts w:ascii="Tahoma" w:eastAsiaTheme="minorEastAsia" w:hAnsi="Tahoma" w:cs="Tahoma"/>
          <w:b/>
          <w:color w:val="auto"/>
          <w:sz w:val="20"/>
          <w:szCs w:val="22"/>
        </w:rPr>
        <w:t>Das Diretrizes</w:t>
      </w:r>
      <w:bookmarkEnd w:id="32"/>
    </w:p>
    <w:p w14:paraId="5DBEC376" w14:textId="5A904CCF" w:rsidR="00465C63" w:rsidRPr="00E8601E" w:rsidRDefault="000D22E0" w:rsidP="00AD12FB">
      <w:pPr>
        <w:spacing w:after="120"/>
        <w:ind w:firstLine="709"/>
        <w:jc w:val="both"/>
        <w:rPr>
          <w:rFonts w:ascii="Tahoma" w:hAnsi="Tahoma" w:cs="Tahoma"/>
          <w:sz w:val="20"/>
        </w:rPr>
      </w:pPr>
      <w:r w:rsidRPr="000D22E0">
        <w:rPr>
          <w:rFonts w:ascii="Tahoma" w:hAnsi="Tahoma" w:cs="Tahoma"/>
          <w:sz w:val="20"/>
        </w:rPr>
        <w:t xml:space="preserve">Os cenários de investimento foram traçados a partir das perspectivas para o quadro nacional e internacional, da análise do panorama político e da visão para a condução da política econômica e do comportamento das </w:t>
      </w:r>
      <w:r w:rsidR="007A0B11">
        <w:rPr>
          <w:rFonts w:ascii="Tahoma" w:hAnsi="Tahoma" w:cs="Tahoma"/>
          <w:sz w:val="20"/>
        </w:rPr>
        <w:t>principais</w:t>
      </w:r>
      <w:r w:rsidRPr="000D22E0">
        <w:rPr>
          <w:rFonts w:ascii="Tahoma" w:hAnsi="Tahoma" w:cs="Tahoma"/>
          <w:sz w:val="20"/>
        </w:rPr>
        <w:t xml:space="preserve"> variáveis econômicas</w:t>
      </w:r>
      <w:r w:rsidR="00465C63" w:rsidRPr="00E8601E">
        <w:rPr>
          <w:rFonts w:ascii="Tahoma" w:hAnsi="Tahoma" w:cs="Tahoma"/>
          <w:sz w:val="20"/>
        </w:rPr>
        <w:t xml:space="preserve">. </w:t>
      </w:r>
    </w:p>
    <w:p w14:paraId="7A5D5CB5" w14:textId="7859B2FD" w:rsidR="00465C63" w:rsidRPr="00BE6FCD" w:rsidRDefault="00A62EE9" w:rsidP="00AD12FB">
      <w:pPr>
        <w:spacing w:after="120"/>
        <w:ind w:firstLine="709"/>
        <w:jc w:val="both"/>
        <w:rPr>
          <w:rFonts w:ascii="Tahoma" w:hAnsi="Tahoma" w:cs="Tahoma"/>
          <w:sz w:val="20"/>
        </w:rPr>
      </w:pPr>
      <w:r>
        <w:rPr>
          <w:rFonts w:ascii="Tahoma" w:hAnsi="Tahoma" w:cs="Tahoma"/>
          <w:sz w:val="20"/>
        </w:rPr>
        <w:t>N</w:t>
      </w:r>
      <w:r w:rsidR="00465C63" w:rsidRPr="00E8601E">
        <w:rPr>
          <w:rFonts w:ascii="Tahoma" w:hAnsi="Tahoma" w:cs="Tahoma"/>
          <w:sz w:val="20"/>
        </w:rPr>
        <w:t xml:space="preserve">o modelo de gestão o respectivo </w:t>
      </w:r>
      <w:r w:rsidR="00F53C5D">
        <w:rPr>
          <w:rFonts w:ascii="Tahoma" w:hAnsi="Tahoma" w:cs="Tahoma"/>
          <w:sz w:val="20"/>
        </w:rPr>
        <w:t>Regime Próprio de Previdência Social</w:t>
      </w:r>
      <w:r w:rsidR="00465C63" w:rsidRPr="00E8601E">
        <w:rPr>
          <w:rFonts w:ascii="Tahoma" w:hAnsi="Tahoma" w:cs="Tahoma"/>
          <w:sz w:val="20"/>
        </w:rPr>
        <w:t xml:space="preserve"> deverá promover boas práticas de mercado. Isso inclui elevados padrões éticos na condução das operações relativas às aplicações </w:t>
      </w:r>
      <w:r w:rsidR="00465C63" w:rsidRPr="00BE6FCD">
        <w:rPr>
          <w:rFonts w:ascii="Tahoma" w:hAnsi="Tahoma" w:cs="Tahoma"/>
          <w:sz w:val="20"/>
        </w:rPr>
        <w:t>dos seus recursos, bem como</w:t>
      </w:r>
      <w:r w:rsidR="00C50758" w:rsidRPr="00BE6FCD">
        <w:rPr>
          <w:rFonts w:ascii="Tahoma" w:hAnsi="Tahoma" w:cs="Tahoma"/>
          <w:sz w:val="20"/>
        </w:rPr>
        <w:t>,</w:t>
      </w:r>
      <w:r w:rsidR="00465C63" w:rsidRPr="00BE6FCD">
        <w:rPr>
          <w:rFonts w:ascii="Tahoma" w:hAnsi="Tahoma" w:cs="Tahoma"/>
          <w:sz w:val="20"/>
        </w:rPr>
        <w:t xml:space="preserve"> eficiência nos procedimentos técnicos, operacionais e de controle das aplicações.</w:t>
      </w:r>
    </w:p>
    <w:p w14:paraId="6ABA7999" w14:textId="165DCB8B" w:rsidR="00465C63" w:rsidRPr="00E8601E" w:rsidRDefault="00465C63" w:rsidP="00AD12FB">
      <w:pPr>
        <w:spacing w:after="120"/>
        <w:ind w:firstLine="709"/>
        <w:jc w:val="both"/>
        <w:rPr>
          <w:rFonts w:ascii="Tahoma" w:hAnsi="Tahoma" w:cs="Tahoma"/>
          <w:sz w:val="20"/>
        </w:rPr>
      </w:pPr>
      <w:r w:rsidRPr="00BE6FCD">
        <w:rPr>
          <w:rFonts w:ascii="Tahoma" w:hAnsi="Tahoma" w:cs="Tahoma"/>
          <w:sz w:val="20"/>
        </w:rPr>
        <w:t>Para atender a legislação estritamente, alguns procedimentos precis</w:t>
      </w:r>
      <w:r w:rsidR="00EB5A51" w:rsidRPr="00BE6FCD">
        <w:rPr>
          <w:rFonts w:ascii="Tahoma" w:hAnsi="Tahoma" w:cs="Tahoma"/>
          <w:sz w:val="20"/>
        </w:rPr>
        <w:t>ar</w:t>
      </w:r>
      <w:r w:rsidRPr="00BE6FCD">
        <w:rPr>
          <w:rFonts w:ascii="Tahoma" w:hAnsi="Tahoma" w:cs="Tahoma"/>
          <w:sz w:val="20"/>
        </w:rPr>
        <w:t xml:space="preserve">ão ser instituídos nos casos omissos e mantidos permanentemente. Dessa forma, o </w:t>
      </w:r>
      <w:r w:rsidR="007F6D14" w:rsidRPr="00BE6FCD">
        <w:rPr>
          <w:rFonts w:ascii="Tahoma" w:hAnsi="Tahoma" w:cs="Tahoma"/>
          <w:sz w:val="20"/>
        </w:rPr>
        <w:t>Comitê de Investimentos</w:t>
      </w:r>
      <w:r w:rsidRPr="00BE6FCD">
        <w:rPr>
          <w:rFonts w:ascii="Tahoma" w:hAnsi="Tahoma" w:cs="Tahoma"/>
          <w:sz w:val="20"/>
        </w:rPr>
        <w:t xml:space="preserve"> ou o órgão competente, com auxílio dos serviços especializados, deverá observar a OBRIGAÇÃO DE ELABORAR RELATÓRIOS DETALHADOS, no mínimo, trimestralmente, SOBRE A RENTABILIDADE</w:t>
      </w:r>
      <w:r w:rsidR="00C50758" w:rsidRPr="00BE6FCD">
        <w:rPr>
          <w:rFonts w:ascii="Tahoma" w:hAnsi="Tahoma" w:cs="Tahoma"/>
          <w:sz w:val="20"/>
        </w:rPr>
        <w:t xml:space="preserve"> e</w:t>
      </w:r>
      <w:r w:rsidRPr="00BE6FCD">
        <w:rPr>
          <w:rFonts w:ascii="Tahoma" w:hAnsi="Tahoma" w:cs="Tahoma"/>
          <w:sz w:val="20"/>
        </w:rPr>
        <w:t xml:space="preserve"> OS RISCOS das diversas modalidades de operações realizadas nas aplicações dos recursos do RPPS e a aderência à política anual de investimentos e suas revisões e submetê-los às instâncias superiores de deliberação e controle. Com isso, busca assegurar-se do desempenho positivo de qualquer entidade</w:t>
      </w:r>
      <w:r w:rsidRPr="00E8601E">
        <w:rPr>
          <w:rFonts w:ascii="Tahoma" w:hAnsi="Tahoma" w:cs="Tahoma"/>
          <w:sz w:val="20"/>
        </w:rPr>
        <w:t xml:space="preserve"> que mantiver relação de prestação de serviços e ou consultoria ao RPPS nas operações de aplicação dos recursos do </w:t>
      </w:r>
      <w:r w:rsidR="000D22E0">
        <w:rPr>
          <w:rFonts w:ascii="Tahoma" w:hAnsi="Tahoma" w:cs="Tahoma"/>
          <w:b/>
          <w:bCs/>
          <w:sz w:val="20"/>
        </w:rPr>
        <w:fldChar w:fldCharType="begin"/>
      </w:r>
      <w:r w:rsidR="000D22E0">
        <w:rPr>
          <w:rFonts w:ascii="Tahoma" w:hAnsi="Tahoma" w:cs="Tahoma"/>
          <w:b/>
          <w:bCs/>
          <w:sz w:val="20"/>
        </w:rPr>
        <w:instrText xml:space="preserve"> MERGEFIELD TP </w:instrText>
      </w:r>
      <w:r w:rsidR="000D22E0">
        <w:rPr>
          <w:rFonts w:ascii="Tahoma" w:hAnsi="Tahoma" w:cs="Tahoma"/>
          <w:b/>
          <w:bCs/>
          <w:sz w:val="20"/>
        </w:rPr>
        <w:fldChar w:fldCharType="separate"/>
      </w:r>
      <w:r w:rsidR="00A14265" w:rsidRPr="00BC514D">
        <w:rPr>
          <w:rFonts w:ascii="Tahoma" w:hAnsi="Tahoma" w:cs="Tahoma"/>
          <w:b/>
          <w:bCs/>
          <w:noProof/>
          <w:sz w:val="20"/>
        </w:rPr>
        <w:t>FAPETRI</w:t>
      </w:r>
      <w:r w:rsidR="000D22E0">
        <w:rPr>
          <w:rFonts w:ascii="Tahoma" w:hAnsi="Tahoma" w:cs="Tahoma"/>
          <w:b/>
          <w:bCs/>
          <w:sz w:val="20"/>
        </w:rPr>
        <w:fldChar w:fldCharType="end"/>
      </w:r>
      <w:r w:rsidRPr="00E8601E">
        <w:rPr>
          <w:rFonts w:ascii="Tahoma" w:hAnsi="Tahoma" w:cs="Tahoma"/>
          <w:sz w:val="20"/>
        </w:rPr>
        <w:t>.</w:t>
      </w:r>
    </w:p>
    <w:p w14:paraId="0ED7C784" w14:textId="2D0F460F" w:rsidR="00465C63" w:rsidRPr="00344EA0" w:rsidRDefault="006730ED" w:rsidP="00AD12FB">
      <w:pPr>
        <w:spacing w:after="120"/>
        <w:ind w:firstLine="709"/>
        <w:jc w:val="both"/>
        <w:rPr>
          <w:rFonts w:ascii="Tahoma" w:hAnsi="Tahoma" w:cs="Tahoma"/>
          <w:sz w:val="20"/>
        </w:rPr>
      </w:pPr>
      <w:r w:rsidRPr="006730ED">
        <w:rPr>
          <w:rFonts w:ascii="Tahoma" w:hAnsi="Tahoma" w:cs="Tahoma"/>
          <w:sz w:val="20"/>
        </w:rPr>
        <w:t xml:space="preserve">Sempre, no modelo de gestão própria, antes da realização de qualquer operação, o RPPS deverá realizar o prévio cadastramento das instituições escolhidas para receber as aplicações, </w:t>
      </w:r>
      <w:r w:rsidRPr="00946F98">
        <w:rPr>
          <w:rFonts w:ascii="Tahoma" w:hAnsi="Tahoma" w:cs="Tahoma"/>
          <w:b/>
          <w:bCs/>
          <w:sz w:val="20"/>
        </w:rPr>
        <w:t xml:space="preserve">conforme </w:t>
      </w:r>
      <w:r w:rsidR="00D31186" w:rsidRPr="00946F98">
        <w:rPr>
          <w:rFonts w:ascii="Tahoma" w:hAnsi="Tahoma" w:cs="Tahoma"/>
          <w:b/>
          <w:bCs/>
          <w:sz w:val="20"/>
        </w:rPr>
        <w:t xml:space="preserve">Art. 103 da </w:t>
      </w:r>
      <w:r w:rsidR="00946F98" w:rsidRPr="00946F98">
        <w:rPr>
          <w:rFonts w:ascii="Tahoma" w:hAnsi="Tahoma" w:cs="Tahoma"/>
          <w:b/>
          <w:bCs/>
          <w:sz w:val="20"/>
        </w:rPr>
        <w:t>Portaria</w:t>
      </w:r>
      <w:r w:rsidR="0020251E" w:rsidRPr="00946F98">
        <w:rPr>
          <w:rFonts w:ascii="Tahoma" w:hAnsi="Tahoma" w:cs="Tahoma"/>
          <w:b/>
          <w:bCs/>
          <w:sz w:val="20"/>
        </w:rPr>
        <w:t xml:space="preserve"> MTP </w:t>
      </w:r>
      <w:r w:rsidR="00946F98" w:rsidRPr="00946F98">
        <w:rPr>
          <w:rFonts w:ascii="Tahoma" w:hAnsi="Tahoma" w:cs="Tahoma"/>
          <w:b/>
          <w:bCs/>
          <w:sz w:val="20"/>
        </w:rPr>
        <w:t>n</w:t>
      </w:r>
      <w:r w:rsidR="0020251E" w:rsidRPr="00946F98">
        <w:rPr>
          <w:rFonts w:ascii="Tahoma" w:hAnsi="Tahoma" w:cs="Tahoma"/>
          <w:b/>
          <w:bCs/>
          <w:sz w:val="20"/>
        </w:rPr>
        <w:t xml:space="preserve">º 1.467, </w:t>
      </w:r>
      <w:r w:rsidR="00946F98">
        <w:rPr>
          <w:rFonts w:ascii="Tahoma" w:hAnsi="Tahoma" w:cs="Tahoma"/>
          <w:b/>
          <w:bCs/>
          <w:sz w:val="20"/>
        </w:rPr>
        <w:t>de</w:t>
      </w:r>
      <w:r w:rsidR="0020251E" w:rsidRPr="00946F98">
        <w:rPr>
          <w:rFonts w:ascii="Tahoma" w:hAnsi="Tahoma" w:cs="Tahoma"/>
          <w:b/>
          <w:bCs/>
          <w:sz w:val="20"/>
        </w:rPr>
        <w:t xml:space="preserve"> 02 </w:t>
      </w:r>
      <w:r w:rsidR="00946F98">
        <w:rPr>
          <w:rFonts w:ascii="Tahoma" w:hAnsi="Tahoma" w:cs="Tahoma"/>
          <w:b/>
          <w:bCs/>
          <w:sz w:val="20"/>
        </w:rPr>
        <w:t>de</w:t>
      </w:r>
      <w:r w:rsidR="0020251E" w:rsidRPr="00946F98">
        <w:rPr>
          <w:rFonts w:ascii="Tahoma" w:hAnsi="Tahoma" w:cs="Tahoma"/>
          <w:b/>
          <w:bCs/>
          <w:sz w:val="20"/>
        </w:rPr>
        <w:t xml:space="preserve"> </w:t>
      </w:r>
      <w:r w:rsidR="00946F98">
        <w:rPr>
          <w:rFonts w:ascii="Tahoma" w:hAnsi="Tahoma" w:cs="Tahoma"/>
          <w:b/>
          <w:bCs/>
          <w:sz w:val="20"/>
        </w:rPr>
        <w:t>junho</w:t>
      </w:r>
      <w:r w:rsidR="0020251E" w:rsidRPr="00946F98">
        <w:rPr>
          <w:rFonts w:ascii="Tahoma" w:hAnsi="Tahoma" w:cs="Tahoma"/>
          <w:b/>
          <w:bCs/>
          <w:sz w:val="20"/>
        </w:rPr>
        <w:t xml:space="preserve"> </w:t>
      </w:r>
      <w:r w:rsidR="00946F98">
        <w:rPr>
          <w:rFonts w:ascii="Tahoma" w:hAnsi="Tahoma" w:cs="Tahoma"/>
          <w:b/>
          <w:bCs/>
          <w:sz w:val="20"/>
        </w:rPr>
        <w:t>de</w:t>
      </w:r>
      <w:r w:rsidR="0020251E" w:rsidRPr="00946F98">
        <w:rPr>
          <w:rFonts w:ascii="Tahoma" w:hAnsi="Tahoma" w:cs="Tahoma"/>
          <w:b/>
          <w:bCs/>
          <w:sz w:val="20"/>
        </w:rPr>
        <w:t xml:space="preserve"> 2022</w:t>
      </w:r>
      <w:r w:rsidRPr="006730ED">
        <w:rPr>
          <w:rFonts w:ascii="Tahoma" w:hAnsi="Tahoma" w:cs="Tahoma"/>
          <w:sz w:val="20"/>
        </w:rPr>
        <w:t>.</w:t>
      </w:r>
      <w:r w:rsidR="00465C63" w:rsidRPr="00E8601E">
        <w:rPr>
          <w:rFonts w:ascii="Tahoma" w:hAnsi="Tahoma" w:cs="Tahoma"/>
          <w:sz w:val="20"/>
        </w:rPr>
        <w:t xml:space="preserve"> </w:t>
      </w:r>
      <w:r w:rsidR="00E03567">
        <w:rPr>
          <w:rFonts w:ascii="Tahoma" w:hAnsi="Tahoma" w:cs="Tahoma"/>
          <w:sz w:val="20"/>
        </w:rPr>
        <w:t xml:space="preserve">Colocamos, mais a frente, um tópico sobre o credenciamento. </w:t>
      </w:r>
    </w:p>
    <w:p w14:paraId="070DB9C5" w14:textId="56FE909F" w:rsidR="00465C63" w:rsidRDefault="00465C63" w:rsidP="00AD12FB">
      <w:pPr>
        <w:spacing w:after="120"/>
        <w:ind w:firstLine="709"/>
        <w:jc w:val="both"/>
        <w:rPr>
          <w:rFonts w:ascii="Tahoma" w:hAnsi="Tahoma" w:cs="Tahoma"/>
          <w:sz w:val="20"/>
        </w:rPr>
      </w:pPr>
      <w:r w:rsidRPr="00344EA0">
        <w:rPr>
          <w:rFonts w:ascii="Tahoma" w:hAnsi="Tahoma" w:cs="Tahoma"/>
          <w:sz w:val="20"/>
        </w:rPr>
        <w:t xml:space="preserve">O </w:t>
      </w:r>
      <w:r w:rsidR="002670EA">
        <w:rPr>
          <w:rFonts w:ascii="Tahoma" w:hAnsi="Tahoma" w:cs="Tahoma"/>
          <w:b/>
          <w:noProof/>
          <w:sz w:val="20"/>
        </w:rPr>
        <w:fldChar w:fldCharType="begin"/>
      </w:r>
      <w:r w:rsidR="002670EA">
        <w:rPr>
          <w:rFonts w:ascii="Tahoma" w:hAnsi="Tahoma" w:cs="Tahoma"/>
          <w:b/>
          <w:noProof/>
          <w:sz w:val="20"/>
        </w:rPr>
        <w:instrText xml:space="preserve"> MERGEFIELD NOME_DO_FUNDO </w:instrText>
      </w:r>
      <w:r w:rsidR="002670EA">
        <w:rPr>
          <w:rFonts w:ascii="Tahoma" w:hAnsi="Tahoma" w:cs="Tahoma"/>
          <w:b/>
          <w:noProof/>
          <w:sz w:val="20"/>
        </w:rPr>
        <w:fldChar w:fldCharType="separate"/>
      </w:r>
      <w:r w:rsidR="00A14265" w:rsidRPr="00BC514D">
        <w:rPr>
          <w:rFonts w:ascii="Tahoma" w:hAnsi="Tahoma" w:cs="Tahoma"/>
          <w:b/>
          <w:noProof/>
          <w:sz w:val="20"/>
        </w:rPr>
        <w:t>FUNDO DE ASSISTÊNCIA E PREVIDÊNCIA DOS SERVIDORES ESTATUTÁRIOS DO MUNICÍPIO DE TRIUNFO – FAPETRI</w:t>
      </w:r>
      <w:r w:rsidR="002670EA">
        <w:rPr>
          <w:rFonts w:ascii="Tahoma" w:hAnsi="Tahoma" w:cs="Tahoma"/>
          <w:b/>
          <w:noProof/>
          <w:sz w:val="20"/>
        </w:rPr>
        <w:fldChar w:fldCharType="end"/>
      </w:r>
      <w:r w:rsidRPr="00903574">
        <w:rPr>
          <w:rFonts w:ascii="Tahoma" w:hAnsi="Tahoma" w:cs="Tahoma"/>
          <w:b/>
          <w:sz w:val="20"/>
        </w:rPr>
        <w:t xml:space="preserve"> </w:t>
      </w:r>
      <w:r w:rsidRPr="00344EA0">
        <w:rPr>
          <w:rFonts w:ascii="Tahoma" w:hAnsi="Tahoma" w:cs="Tahoma"/>
          <w:sz w:val="20"/>
        </w:rPr>
        <w:t>deverá manter</w:t>
      </w:r>
      <w:r w:rsidR="000D22E0">
        <w:rPr>
          <w:rFonts w:ascii="Tahoma" w:hAnsi="Tahoma" w:cs="Tahoma"/>
          <w:sz w:val="20"/>
        </w:rPr>
        <w:t xml:space="preserve"> o</w:t>
      </w:r>
      <w:r w:rsidRPr="00344EA0">
        <w:rPr>
          <w:rFonts w:ascii="Tahoma" w:hAnsi="Tahoma" w:cs="Tahoma"/>
          <w:sz w:val="20"/>
        </w:rPr>
        <w:t xml:space="preserve"> </w:t>
      </w:r>
      <w:r w:rsidR="007F6D14">
        <w:rPr>
          <w:rFonts w:ascii="Tahoma" w:hAnsi="Tahoma" w:cs="Tahoma"/>
          <w:sz w:val="20"/>
        </w:rPr>
        <w:t>Comitê de Investimentos</w:t>
      </w:r>
      <w:r w:rsidRPr="00344EA0">
        <w:rPr>
          <w:rFonts w:ascii="Tahoma" w:hAnsi="Tahoma" w:cs="Tahoma"/>
          <w:sz w:val="20"/>
        </w:rPr>
        <w:t xml:space="preserve"> dos seus respectivos recursos, como órgão </w:t>
      </w:r>
      <w:r>
        <w:rPr>
          <w:rFonts w:ascii="Tahoma" w:hAnsi="Tahoma" w:cs="Tahoma"/>
          <w:sz w:val="20"/>
        </w:rPr>
        <w:t>participativo</w:t>
      </w:r>
      <w:r w:rsidRPr="00344EA0">
        <w:rPr>
          <w:rFonts w:ascii="Tahoma" w:hAnsi="Tahoma" w:cs="Tahoma"/>
          <w:sz w:val="20"/>
        </w:rPr>
        <w:t xml:space="preserve"> no processo decisório quanto à execução da </w:t>
      </w:r>
      <w:r w:rsidR="007A0B11">
        <w:rPr>
          <w:rFonts w:ascii="Tahoma" w:hAnsi="Tahoma" w:cs="Tahoma"/>
          <w:sz w:val="20"/>
        </w:rPr>
        <w:t>Política de Investimentos</w:t>
      </w:r>
      <w:r w:rsidRPr="00344EA0">
        <w:rPr>
          <w:rFonts w:ascii="Tahoma" w:hAnsi="Tahoma" w:cs="Tahoma"/>
          <w:sz w:val="20"/>
        </w:rPr>
        <w:t>, cujas decisões serão registradas</w:t>
      </w:r>
      <w:r w:rsidRPr="00E8601E">
        <w:rPr>
          <w:rFonts w:ascii="Tahoma" w:hAnsi="Tahoma" w:cs="Tahoma"/>
          <w:sz w:val="20"/>
        </w:rPr>
        <w:t xml:space="preserve"> em ata. O </w:t>
      </w:r>
      <w:r w:rsidR="007F6D14">
        <w:rPr>
          <w:rFonts w:ascii="Tahoma" w:hAnsi="Tahoma" w:cs="Tahoma"/>
          <w:sz w:val="20"/>
        </w:rPr>
        <w:t>Comitê de Investimentos</w:t>
      </w:r>
      <w:r w:rsidRPr="00E8601E">
        <w:rPr>
          <w:rFonts w:ascii="Tahoma" w:hAnsi="Tahoma" w:cs="Tahoma"/>
          <w:sz w:val="20"/>
        </w:rPr>
        <w:t xml:space="preserve"> precisa ter se originado de ato normativo prevendo a sua estrutura, composição e funcionamento, respeitada a exigência de que seus membros mantenham vínculo com o RPPS, na forma definida </w:t>
      </w:r>
      <w:r w:rsidR="0020251E">
        <w:rPr>
          <w:rFonts w:ascii="Tahoma" w:hAnsi="Tahoma" w:cs="Tahoma"/>
          <w:sz w:val="20"/>
        </w:rPr>
        <w:t>na P</w:t>
      </w:r>
      <w:r w:rsidR="00946F98">
        <w:rPr>
          <w:rFonts w:ascii="Tahoma" w:hAnsi="Tahoma" w:cs="Tahoma"/>
          <w:sz w:val="20"/>
        </w:rPr>
        <w:t>ortaria</w:t>
      </w:r>
      <w:r w:rsidR="0020251E">
        <w:rPr>
          <w:rFonts w:ascii="Tahoma" w:hAnsi="Tahoma" w:cs="Tahoma"/>
          <w:sz w:val="20"/>
        </w:rPr>
        <w:t xml:space="preserve"> MTP </w:t>
      </w:r>
      <w:r w:rsidR="00946F98">
        <w:rPr>
          <w:rFonts w:ascii="Tahoma" w:hAnsi="Tahoma" w:cs="Tahoma"/>
          <w:sz w:val="20"/>
        </w:rPr>
        <w:t>n</w:t>
      </w:r>
      <w:r w:rsidR="0020251E">
        <w:rPr>
          <w:rFonts w:ascii="Tahoma" w:hAnsi="Tahoma" w:cs="Tahoma"/>
          <w:sz w:val="20"/>
        </w:rPr>
        <w:t xml:space="preserve">º 1.467, </w:t>
      </w:r>
      <w:r w:rsidR="00946F98">
        <w:rPr>
          <w:rFonts w:ascii="Tahoma" w:hAnsi="Tahoma" w:cs="Tahoma"/>
          <w:sz w:val="20"/>
        </w:rPr>
        <w:t>de</w:t>
      </w:r>
      <w:r w:rsidR="0020251E">
        <w:rPr>
          <w:rFonts w:ascii="Tahoma" w:hAnsi="Tahoma" w:cs="Tahoma"/>
          <w:sz w:val="20"/>
        </w:rPr>
        <w:t xml:space="preserve"> 02 </w:t>
      </w:r>
      <w:r w:rsidR="00946F98">
        <w:rPr>
          <w:rFonts w:ascii="Tahoma" w:hAnsi="Tahoma" w:cs="Tahoma"/>
          <w:sz w:val="20"/>
        </w:rPr>
        <w:t>de</w:t>
      </w:r>
      <w:r w:rsidR="0020251E">
        <w:rPr>
          <w:rFonts w:ascii="Tahoma" w:hAnsi="Tahoma" w:cs="Tahoma"/>
          <w:sz w:val="20"/>
        </w:rPr>
        <w:t xml:space="preserve"> </w:t>
      </w:r>
      <w:r w:rsidR="00946F98">
        <w:rPr>
          <w:rFonts w:ascii="Tahoma" w:hAnsi="Tahoma" w:cs="Tahoma"/>
          <w:sz w:val="20"/>
        </w:rPr>
        <w:t>junho de</w:t>
      </w:r>
      <w:r w:rsidR="0020251E">
        <w:rPr>
          <w:rFonts w:ascii="Tahoma" w:hAnsi="Tahoma" w:cs="Tahoma"/>
          <w:sz w:val="20"/>
        </w:rPr>
        <w:t xml:space="preserve"> 2022</w:t>
      </w:r>
      <w:r w:rsidRPr="00E8601E">
        <w:rPr>
          <w:rFonts w:ascii="Tahoma" w:hAnsi="Tahoma" w:cs="Tahoma"/>
          <w:sz w:val="20"/>
        </w:rPr>
        <w:t xml:space="preserve">. O </w:t>
      </w:r>
      <w:r w:rsidR="007F6D14">
        <w:rPr>
          <w:rFonts w:ascii="Tahoma" w:hAnsi="Tahoma" w:cs="Tahoma"/>
          <w:sz w:val="20"/>
        </w:rPr>
        <w:t>Comitê de Investimentos</w:t>
      </w:r>
      <w:r w:rsidRPr="00E8601E">
        <w:rPr>
          <w:rFonts w:ascii="Tahoma" w:hAnsi="Tahoma" w:cs="Tahoma"/>
          <w:sz w:val="20"/>
        </w:rPr>
        <w:t xml:space="preserve"> deverá</w:t>
      </w:r>
      <w:r>
        <w:rPr>
          <w:rFonts w:ascii="Tahoma" w:hAnsi="Tahoma" w:cs="Tahoma"/>
          <w:sz w:val="20"/>
        </w:rPr>
        <w:t xml:space="preserve"> </w:t>
      </w:r>
      <w:r w:rsidRPr="002A084B">
        <w:rPr>
          <w:rFonts w:ascii="Tahoma" w:hAnsi="Tahoma" w:cs="Tahoma"/>
          <w:sz w:val="20"/>
        </w:rPr>
        <w:t xml:space="preserve">adequar-se às obrigatoriedades da Portaria nº 9.907, de 14 de abril de 2020, em relação ao </w:t>
      </w:r>
      <w:r w:rsidRPr="002A084B">
        <w:rPr>
          <w:rFonts w:ascii="Tahoma" w:hAnsi="Tahoma" w:cs="Tahoma"/>
          <w:b/>
          <w:bCs/>
          <w:sz w:val="20"/>
        </w:rPr>
        <w:t>Art. 8º-B, da Lei nº 9.717, de 1998</w:t>
      </w:r>
      <w:r w:rsidRPr="00E8601E">
        <w:rPr>
          <w:rFonts w:ascii="Tahoma" w:hAnsi="Tahoma" w:cs="Tahoma"/>
          <w:sz w:val="20"/>
        </w:rPr>
        <w:t xml:space="preserve">. </w:t>
      </w:r>
    </w:p>
    <w:p w14:paraId="349C717D" w14:textId="7EE335C8" w:rsidR="00465C63" w:rsidRDefault="00465C63" w:rsidP="00AD12FB">
      <w:pPr>
        <w:spacing w:after="120"/>
        <w:ind w:firstLine="709"/>
        <w:jc w:val="both"/>
        <w:rPr>
          <w:rFonts w:ascii="Tahoma" w:hAnsi="Tahoma" w:cs="Tahoma"/>
          <w:sz w:val="20"/>
        </w:rPr>
      </w:pPr>
    </w:p>
    <w:p w14:paraId="70BAA7B7" w14:textId="77777777" w:rsidR="00465C63" w:rsidRPr="000C021C" w:rsidRDefault="00465C63" w:rsidP="000C021C">
      <w:pPr>
        <w:pStyle w:val="Ttulo2"/>
        <w:rPr>
          <w:rFonts w:ascii="Tahoma" w:hAnsi="Tahoma" w:cs="Tahoma"/>
          <w:b/>
          <w:color w:val="auto"/>
          <w:sz w:val="20"/>
        </w:rPr>
      </w:pPr>
      <w:bookmarkStart w:id="33" w:name="_Toc181542579"/>
      <w:r w:rsidRPr="000C021C">
        <w:rPr>
          <w:rFonts w:ascii="Tahoma" w:hAnsi="Tahoma" w:cs="Tahoma"/>
          <w:b/>
          <w:color w:val="auto"/>
          <w:sz w:val="20"/>
        </w:rPr>
        <w:t>Competência dos Órgãos envolvidos na Gestão dos recursos do RPPS</w:t>
      </w:r>
      <w:bookmarkEnd w:id="33"/>
    </w:p>
    <w:p w14:paraId="43C1197B" w14:textId="5B94DD65" w:rsidR="00465C63" w:rsidRPr="00E8601E" w:rsidRDefault="00465C63" w:rsidP="00AD12FB">
      <w:pPr>
        <w:spacing w:after="120"/>
        <w:ind w:firstLine="709"/>
        <w:jc w:val="both"/>
        <w:rPr>
          <w:rFonts w:ascii="Tahoma" w:hAnsi="Tahoma" w:cs="Tahoma"/>
          <w:sz w:val="20"/>
        </w:rPr>
      </w:pPr>
      <w:r w:rsidRPr="00E8601E">
        <w:rPr>
          <w:rFonts w:ascii="Tahoma" w:hAnsi="Tahoma" w:cs="Tahoma"/>
          <w:sz w:val="20"/>
        </w:rPr>
        <w:t xml:space="preserve">Os órgãos envolvidos na gestão são: </w:t>
      </w:r>
      <w:r w:rsidR="002670EA">
        <w:rPr>
          <w:rFonts w:ascii="Tahoma" w:hAnsi="Tahoma" w:cs="Tahoma"/>
          <w:noProof/>
          <w:sz w:val="20"/>
        </w:rPr>
        <w:fldChar w:fldCharType="begin"/>
      </w:r>
      <w:r w:rsidR="002670EA">
        <w:rPr>
          <w:rFonts w:ascii="Tahoma" w:hAnsi="Tahoma" w:cs="Tahoma"/>
          <w:noProof/>
          <w:sz w:val="20"/>
        </w:rPr>
        <w:instrText xml:space="preserve"> MERGEFIELD CONSELHO </w:instrText>
      </w:r>
      <w:r w:rsidR="002670EA">
        <w:rPr>
          <w:rFonts w:ascii="Tahoma" w:hAnsi="Tahoma" w:cs="Tahoma"/>
          <w:noProof/>
          <w:sz w:val="20"/>
        </w:rPr>
        <w:fldChar w:fldCharType="separate"/>
      </w:r>
      <w:r w:rsidR="00A14265" w:rsidRPr="00BC514D">
        <w:rPr>
          <w:rFonts w:ascii="Tahoma" w:hAnsi="Tahoma" w:cs="Tahoma"/>
          <w:noProof/>
          <w:sz w:val="20"/>
        </w:rPr>
        <w:t>CONSELHO DE ADMINISTRAÇÃO DO FAPETRI</w:t>
      </w:r>
      <w:r w:rsidR="002670EA">
        <w:rPr>
          <w:rFonts w:ascii="Tahoma" w:hAnsi="Tahoma" w:cs="Tahoma"/>
          <w:noProof/>
          <w:sz w:val="20"/>
        </w:rPr>
        <w:fldChar w:fldCharType="end"/>
      </w:r>
      <w:r>
        <w:rPr>
          <w:rFonts w:ascii="Tahoma" w:hAnsi="Tahoma" w:cs="Tahoma"/>
          <w:sz w:val="20"/>
        </w:rPr>
        <w:t xml:space="preserve"> e</w:t>
      </w:r>
      <w:r w:rsidRPr="00E8601E">
        <w:rPr>
          <w:rFonts w:ascii="Tahoma" w:hAnsi="Tahoma" w:cs="Tahoma"/>
          <w:sz w:val="20"/>
        </w:rPr>
        <w:t xml:space="preserve"> o </w:t>
      </w:r>
      <w:r w:rsidR="002670EA">
        <w:rPr>
          <w:rFonts w:ascii="Tahoma" w:hAnsi="Tahoma" w:cs="Tahoma"/>
          <w:noProof/>
          <w:sz w:val="20"/>
        </w:rPr>
        <w:fldChar w:fldCharType="begin"/>
      </w:r>
      <w:r w:rsidR="002670EA">
        <w:rPr>
          <w:rFonts w:ascii="Tahoma" w:hAnsi="Tahoma" w:cs="Tahoma"/>
          <w:noProof/>
          <w:sz w:val="20"/>
        </w:rPr>
        <w:instrText xml:space="preserve"> MERGEFIELD COMITÊ </w:instrText>
      </w:r>
      <w:r w:rsidR="002670EA">
        <w:rPr>
          <w:rFonts w:ascii="Tahoma" w:hAnsi="Tahoma" w:cs="Tahoma"/>
          <w:noProof/>
          <w:sz w:val="20"/>
        </w:rPr>
        <w:fldChar w:fldCharType="separate"/>
      </w:r>
      <w:r w:rsidR="00A14265" w:rsidRPr="00BC514D">
        <w:rPr>
          <w:rFonts w:ascii="Tahoma" w:hAnsi="Tahoma" w:cs="Tahoma"/>
          <w:noProof/>
          <w:sz w:val="20"/>
        </w:rPr>
        <w:t>COMITÊ DE INVESTIMENTOS</w:t>
      </w:r>
      <w:r w:rsidR="002670EA">
        <w:rPr>
          <w:rFonts w:ascii="Tahoma" w:hAnsi="Tahoma" w:cs="Tahoma"/>
          <w:noProof/>
          <w:sz w:val="20"/>
        </w:rPr>
        <w:fldChar w:fldCharType="end"/>
      </w:r>
      <w:r w:rsidRPr="00E8601E">
        <w:rPr>
          <w:rFonts w:ascii="Tahoma" w:hAnsi="Tahoma" w:cs="Tahoma"/>
          <w:sz w:val="20"/>
        </w:rPr>
        <w:t xml:space="preserve">. No que diz a respeito à elaboração e implementação da </w:t>
      </w:r>
      <w:r w:rsidR="007A0B11">
        <w:rPr>
          <w:rFonts w:ascii="Tahoma" w:hAnsi="Tahoma" w:cs="Tahoma"/>
          <w:sz w:val="20"/>
        </w:rPr>
        <w:t>Política de Investimentos</w:t>
      </w:r>
      <w:r w:rsidRPr="00E8601E">
        <w:rPr>
          <w:rFonts w:ascii="Tahoma" w:hAnsi="Tahoma" w:cs="Tahoma"/>
          <w:sz w:val="20"/>
        </w:rPr>
        <w:t>, cada órgão possui as seguintes competências:</w:t>
      </w:r>
    </w:p>
    <w:p w14:paraId="61FB6337" w14:textId="0931EF0A" w:rsidR="00465C63" w:rsidRPr="00C02E24" w:rsidRDefault="002670EA" w:rsidP="00AD12FB">
      <w:pPr>
        <w:spacing w:after="120"/>
        <w:ind w:firstLine="709"/>
        <w:jc w:val="both"/>
        <w:rPr>
          <w:rFonts w:ascii="Tahoma" w:hAnsi="Tahoma" w:cs="Tahoma"/>
          <w:i/>
          <w:sz w:val="20"/>
        </w:rPr>
      </w:pPr>
      <w:r w:rsidRPr="00C02E24">
        <w:rPr>
          <w:rFonts w:ascii="Tahoma" w:hAnsi="Tahoma" w:cs="Tahoma"/>
          <w:i/>
          <w:noProof/>
          <w:sz w:val="20"/>
        </w:rPr>
        <w:fldChar w:fldCharType="begin"/>
      </w:r>
      <w:r w:rsidRPr="00C02E24">
        <w:rPr>
          <w:rFonts w:ascii="Tahoma" w:hAnsi="Tahoma" w:cs="Tahoma"/>
          <w:i/>
          <w:noProof/>
          <w:sz w:val="20"/>
        </w:rPr>
        <w:instrText xml:space="preserve"> MERGEFIELD CONSELHO </w:instrText>
      </w:r>
      <w:r w:rsidRPr="00C02E24">
        <w:rPr>
          <w:rFonts w:ascii="Tahoma" w:hAnsi="Tahoma" w:cs="Tahoma"/>
          <w:i/>
          <w:noProof/>
          <w:sz w:val="20"/>
        </w:rPr>
        <w:fldChar w:fldCharType="separate"/>
      </w:r>
      <w:r w:rsidR="00A14265" w:rsidRPr="00BC514D">
        <w:rPr>
          <w:rFonts w:ascii="Tahoma" w:hAnsi="Tahoma" w:cs="Tahoma"/>
          <w:i/>
          <w:noProof/>
          <w:sz w:val="20"/>
        </w:rPr>
        <w:t>CONSELHO DE ADMINISTRAÇÃO DO FAPETRI</w:t>
      </w:r>
      <w:r w:rsidRPr="00C02E24">
        <w:rPr>
          <w:rFonts w:ascii="Tahoma" w:hAnsi="Tahoma" w:cs="Tahoma"/>
          <w:i/>
          <w:noProof/>
          <w:sz w:val="20"/>
        </w:rPr>
        <w:fldChar w:fldCharType="end"/>
      </w:r>
    </w:p>
    <w:p w14:paraId="041A2587" w14:textId="05BC7E43" w:rsidR="00465C63" w:rsidRPr="00C02E24" w:rsidRDefault="00465C63" w:rsidP="00AD12FB">
      <w:pPr>
        <w:pStyle w:val="PargrafodaLista"/>
        <w:numPr>
          <w:ilvl w:val="0"/>
          <w:numId w:val="2"/>
        </w:numPr>
        <w:spacing w:after="120"/>
        <w:ind w:firstLine="709"/>
        <w:jc w:val="both"/>
        <w:rPr>
          <w:rFonts w:ascii="Tahoma" w:hAnsi="Tahoma" w:cs="Tahoma"/>
          <w:sz w:val="20"/>
        </w:rPr>
      </w:pPr>
      <w:r w:rsidRPr="00C02E24">
        <w:rPr>
          <w:rFonts w:ascii="Tahoma" w:hAnsi="Tahoma" w:cs="Tahoma"/>
          <w:sz w:val="20"/>
        </w:rPr>
        <w:t xml:space="preserve">Aprovar a </w:t>
      </w:r>
      <w:r w:rsidR="007A0B11" w:rsidRPr="00C02E24">
        <w:rPr>
          <w:rFonts w:ascii="Tahoma" w:hAnsi="Tahoma" w:cs="Tahoma"/>
          <w:sz w:val="20"/>
        </w:rPr>
        <w:t>Política de Investimentos</w:t>
      </w:r>
      <w:r w:rsidRPr="00C02E24">
        <w:rPr>
          <w:rFonts w:ascii="Tahoma" w:hAnsi="Tahoma" w:cs="Tahoma"/>
          <w:sz w:val="20"/>
        </w:rPr>
        <w:t xml:space="preserve"> com base na legislação vigente;</w:t>
      </w:r>
    </w:p>
    <w:p w14:paraId="7A1E58C6" w14:textId="7E6D9B80" w:rsidR="00465C63" w:rsidRPr="00C02E24" w:rsidRDefault="00465C63" w:rsidP="00AD12FB">
      <w:pPr>
        <w:pStyle w:val="PargrafodaLista"/>
        <w:numPr>
          <w:ilvl w:val="0"/>
          <w:numId w:val="2"/>
        </w:numPr>
        <w:spacing w:after="120"/>
        <w:ind w:firstLine="709"/>
        <w:jc w:val="both"/>
        <w:rPr>
          <w:rFonts w:ascii="Tahoma" w:hAnsi="Tahoma" w:cs="Tahoma"/>
          <w:sz w:val="20"/>
        </w:rPr>
      </w:pPr>
      <w:r w:rsidRPr="00C02E24">
        <w:rPr>
          <w:rFonts w:ascii="Tahoma" w:hAnsi="Tahoma" w:cs="Tahoma"/>
          <w:sz w:val="20"/>
        </w:rPr>
        <w:t>Analisar a atual ca</w:t>
      </w:r>
      <w:r w:rsidR="00C50758" w:rsidRPr="00C02E24">
        <w:rPr>
          <w:rFonts w:ascii="Tahoma" w:hAnsi="Tahoma" w:cs="Tahoma"/>
          <w:sz w:val="20"/>
        </w:rPr>
        <w:t>r</w:t>
      </w:r>
      <w:r w:rsidRPr="00C02E24">
        <w:rPr>
          <w:rFonts w:ascii="Tahoma" w:hAnsi="Tahoma" w:cs="Tahoma"/>
          <w:sz w:val="20"/>
        </w:rPr>
        <w:t xml:space="preserve">teira do RPPS conforme proposta atual da </w:t>
      </w:r>
      <w:r w:rsidR="007A0B11" w:rsidRPr="00C02E24">
        <w:rPr>
          <w:rFonts w:ascii="Tahoma" w:hAnsi="Tahoma" w:cs="Tahoma"/>
          <w:sz w:val="20"/>
        </w:rPr>
        <w:t>Política de Investimentos</w:t>
      </w:r>
      <w:r w:rsidRPr="00C02E24">
        <w:rPr>
          <w:rFonts w:ascii="Tahoma" w:hAnsi="Tahoma" w:cs="Tahoma"/>
          <w:sz w:val="20"/>
        </w:rPr>
        <w:t>;</w:t>
      </w:r>
    </w:p>
    <w:p w14:paraId="79408EA0" w14:textId="0F43A383" w:rsidR="00465C63" w:rsidRPr="00C02E24" w:rsidRDefault="00465C63" w:rsidP="00AD12FB">
      <w:pPr>
        <w:pStyle w:val="PargrafodaLista"/>
        <w:numPr>
          <w:ilvl w:val="0"/>
          <w:numId w:val="2"/>
        </w:numPr>
        <w:spacing w:after="120"/>
        <w:ind w:firstLine="709"/>
        <w:jc w:val="both"/>
        <w:rPr>
          <w:rFonts w:ascii="Tahoma" w:hAnsi="Tahoma" w:cs="Tahoma"/>
          <w:sz w:val="20"/>
        </w:rPr>
      </w:pPr>
      <w:r w:rsidRPr="00C02E24">
        <w:rPr>
          <w:rFonts w:ascii="Tahoma" w:hAnsi="Tahoma" w:cs="Tahoma"/>
          <w:sz w:val="20"/>
        </w:rPr>
        <w:t>Aprovar os limites: "mínimos, alvos e superiores" por segmento (Renda Fixa, Renda Variável e Imóvel);</w:t>
      </w:r>
    </w:p>
    <w:p w14:paraId="3CAC8324" w14:textId="4D597D44" w:rsidR="00465C63" w:rsidRPr="002A084B" w:rsidRDefault="00465C63" w:rsidP="00AD12FB">
      <w:pPr>
        <w:pStyle w:val="PargrafodaLista"/>
        <w:numPr>
          <w:ilvl w:val="0"/>
          <w:numId w:val="2"/>
        </w:numPr>
        <w:spacing w:after="120"/>
        <w:ind w:firstLine="709"/>
        <w:jc w:val="both"/>
        <w:rPr>
          <w:rFonts w:ascii="Tahoma" w:hAnsi="Tahoma" w:cs="Tahoma"/>
          <w:sz w:val="20"/>
        </w:rPr>
      </w:pPr>
      <w:r w:rsidRPr="00C02E24">
        <w:rPr>
          <w:rFonts w:ascii="Tahoma" w:hAnsi="Tahoma" w:cs="Tahoma"/>
          <w:sz w:val="20"/>
        </w:rPr>
        <w:lastRenderedPageBreak/>
        <w:t>Acompanhar</w:t>
      </w:r>
      <w:r w:rsidR="00C50758" w:rsidRPr="00C02E24">
        <w:rPr>
          <w:rFonts w:ascii="Tahoma" w:hAnsi="Tahoma" w:cs="Tahoma"/>
          <w:sz w:val="20"/>
        </w:rPr>
        <w:t>,</w:t>
      </w:r>
      <w:r w:rsidRPr="00C02E24">
        <w:rPr>
          <w:rFonts w:ascii="Tahoma" w:hAnsi="Tahoma" w:cs="Tahoma"/>
          <w:sz w:val="20"/>
        </w:rPr>
        <w:t xml:space="preserve"> mensalmente</w:t>
      </w:r>
      <w:r w:rsidR="00C50758" w:rsidRPr="00C02E24">
        <w:rPr>
          <w:rFonts w:ascii="Tahoma" w:hAnsi="Tahoma" w:cs="Tahoma"/>
          <w:sz w:val="20"/>
        </w:rPr>
        <w:t>,</w:t>
      </w:r>
      <w:r w:rsidRPr="00C02E24">
        <w:rPr>
          <w:rFonts w:ascii="Tahoma" w:hAnsi="Tahoma" w:cs="Tahoma"/>
          <w:sz w:val="20"/>
        </w:rPr>
        <w:t xml:space="preserve"> o enquadramento</w:t>
      </w:r>
      <w:r w:rsidRPr="002A084B">
        <w:rPr>
          <w:rFonts w:ascii="Tahoma" w:hAnsi="Tahoma" w:cs="Tahoma"/>
          <w:sz w:val="20"/>
        </w:rPr>
        <w:t xml:space="preserve"> do RPPS às legislações vigentes;</w:t>
      </w:r>
    </w:p>
    <w:p w14:paraId="412FCF06" w14:textId="5F0E8B68" w:rsidR="00465C63" w:rsidRPr="00C02E24" w:rsidRDefault="00465C63" w:rsidP="00AD12FB">
      <w:pPr>
        <w:pStyle w:val="PargrafodaLista"/>
        <w:numPr>
          <w:ilvl w:val="0"/>
          <w:numId w:val="2"/>
        </w:numPr>
        <w:spacing w:after="120"/>
        <w:ind w:firstLine="709"/>
        <w:jc w:val="both"/>
        <w:rPr>
          <w:rFonts w:ascii="Tahoma" w:hAnsi="Tahoma" w:cs="Tahoma"/>
          <w:sz w:val="20"/>
        </w:rPr>
      </w:pPr>
      <w:r w:rsidRPr="00C02E24">
        <w:rPr>
          <w:rFonts w:ascii="Tahoma" w:hAnsi="Tahoma" w:cs="Tahoma"/>
          <w:sz w:val="20"/>
        </w:rPr>
        <w:t>Apreciar</w:t>
      </w:r>
      <w:r w:rsidR="00C50758" w:rsidRPr="00C02E24">
        <w:rPr>
          <w:rFonts w:ascii="Tahoma" w:hAnsi="Tahoma" w:cs="Tahoma"/>
          <w:sz w:val="20"/>
        </w:rPr>
        <w:t xml:space="preserve">, mensalmente, </w:t>
      </w:r>
      <w:r w:rsidRPr="00C02E24">
        <w:rPr>
          <w:rFonts w:ascii="Tahoma" w:hAnsi="Tahoma" w:cs="Tahoma"/>
          <w:sz w:val="20"/>
        </w:rPr>
        <w:t xml:space="preserve">o resultado da carteira de investimentos do RPPS, bem como aprovar a ATA da reunião do </w:t>
      </w:r>
      <w:r w:rsidR="007F6D14" w:rsidRPr="00C02E24">
        <w:rPr>
          <w:rFonts w:ascii="Tahoma" w:hAnsi="Tahoma" w:cs="Tahoma"/>
          <w:sz w:val="20"/>
        </w:rPr>
        <w:t>Comitê de Investimento</w:t>
      </w:r>
      <w:r w:rsidRPr="00C02E24">
        <w:rPr>
          <w:rFonts w:ascii="Tahoma" w:hAnsi="Tahoma" w:cs="Tahoma"/>
          <w:sz w:val="20"/>
        </w:rPr>
        <w:t>s;</w:t>
      </w:r>
    </w:p>
    <w:p w14:paraId="6225F5F0" w14:textId="77777777" w:rsidR="00465C63" w:rsidRPr="00C02E24" w:rsidRDefault="00465C63" w:rsidP="00AD12FB">
      <w:pPr>
        <w:pStyle w:val="PargrafodaLista"/>
        <w:numPr>
          <w:ilvl w:val="0"/>
          <w:numId w:val="2"/>
        </w:numPr>
        <w:spacing w:after="120"/>
        <w:ind w:firstLine="709"/>
        <w:jc w:val="both"/>
        <w:rPr>
          <w:rFonts w:ascii="Tahoma" w:hAnsi="Tahoma" w:cs="Tahoma"/>
          <w:sz w:val="20"/>
        </w:rPr>
      </w:pPr>
      <w:r w:rsidRPr="00C02E24">
        <w:rPr>
          <w:rFonts w:ascii="Tahoma" w:hAnsi="Tahoma" w:cs="Tahoma"/>
          <w:sz w:val="20"/>
        </w:rPr>
        <w:t>Aprovar as eventuais realocações de recursos da carteira sugeridas pelo comitê;</w:t>
      </w:r>
    </w:p>
    <w:p w14:paraId="7047FCFE" w14:textId="514DC428" w:rsidR="00333690" w:rsidRPr="00946F98" w:rsidRDefault="00333690" w:rsidP="00AD12FB">
      <w:pPr>
        <w:pStyle w:val="PargrafodaLista"/>
        <w:numPr>
          <w:ilvl w:val="0"/>
          <w:numId w:val="2"/>
        </w:numPr>
        <w:spacing w:after="120"/>
        <w:ind w:firstLine="709"/>
        <w:jc w:val="both"/>
        <w:rPr>
          <w:rFonts w:ascii="Tahoma" w:hAnsi="Tahoma" w:cs="Tahoma"/>
          <w:sz w:val="20"/>
        </w:rPr>
      </w:pPr>
      <w:r w:rsidRPr="00946F98">
        <w:rPr>
          <w:rFonts w:ascii="Tahoma" w:hAnsi="Tahoma" w:cs="Tahoma"/>
          <w:sz w:val="20"/>
        </w:rPr>
        <w:t>Deverão ser emitidos relatórios, no mínimo, semestralmente</w:t>
      </w:r>
      <w:r w:rsidR="00C02E24" w:rsidRPr="00946F98">
        <w:rPr>
          <w:rFonts w:ascii="Tahoma" w:hAnsi="Tahoma" w:cs="Tahoma"/>
          <w:sz w:val="20"/>
        </w:rPr>
        <w:t xml:space="preserve"> </w:t>
      </w:r>
      <w:r w:rsidR="00C02E24" w:rsidRPr="00946F98">
        <w:rPr>
          <w:rFonts w:ascii="Tahoma" w:hAnsi="Tahoma" w:cs="Tahoma"/>
          <w:b/>
          <w:bCs/>
          <w:sz w:val="20"/>
        </w:rPr>
        <w:t xml:space="preserve">( </w:t>
      </w:r>
      <w:proofErr w:type="spellStart"/>
      <w:r w:rsidR="00C02E24" w:rsidRPr="00946F98">
        <w:rPr>
          <w:rFonts w:ascii="Tahoma" w:hAnsi="Tahoma" w:cs="Tahoma"/>
          <w:b/>
          <w:bCs/>
          <w:sz w:val="20"/>
        </w:rPr>
        <w:t>Art</w:t>
      </w:r>
      <w:proofErr w:type="spellEnd"/>
      <w:r w:rsidR="00C02E24" w:rsidRPr="00946F98">
        <w:rPr>
          <w:rFonts w:ascii="Tahoma" w:hAnsi="Tahoma" w:cs="Tahoma"/>
          <w:b/>
          <w:bCs/>
          <w:sz w:val="20"/>
        </w:rPr>
        <w:t xml:space="preserve"> 129 I Portaria MTP nº 1.467/2022)</w:t>
      </w:r>
      <w:r w:rsidRPr="00946F98">
        <w:rPr>
          <w:rFonts w:ascii="Tahoma" w:hAnsi="Tahoma" w:cs="Tahoma"/>
          <w:sz w:val="20"/>
        </w:rPr>
        <w:t xml:space="preserve">, que contemplem: as conclusões dos exames efetuados, inclusive sobre a aderência da gestão dos recursos do RPPS às normas em vigor e à </w:t>
      </w:r>
      <w:r w:rsidR="007A0B11" w:rsidRPr="00946F98">
        <w:rPr>
          <w:rFonts w:ascii="Tahoma" w:hAnsi="Tahoma" w:cs="Tahoma"/>
          <w:sz w:val="20"/>
        </w:rPr>
        <w:t>Política de Investimentos</w:t>
      </w:r>
      <w:r w:rsidR="00C02E24" w:rsidRPr="00946F98">
        <w:rPr>
          <w:rFonts w:ascii="Tahoma" w:hAnsi="Tahoma" w:cs="Tahoma"/>
          <w:sz w:val="20"/>
        </w:rPr>
        <w:t>.</w:t>
      </w:r>
      <w:r w:rsidRPr="00946F98">
        <w:rPr>
          <w:rFonts w:ascii="Tahoma" w:hAnsi="Tahoma" w:cs="Tahoma"/>
          <w:sz w:val="20"/>
        </w:rPr>
        <w:t xml:space="preserve"> </w:t>
      </w:r>
    </w:p>
    <w:p w14:paraId="6558F371" w14:textId="77777777" w:rsidR="00465C63" w:rsidRPr="00E8601E" w:rsidRDefault="00465C63" w:rsidP="00AD12FB">
      <w:pPr>
        <w:pStyle w:val="PargrafodaLista"/>
        <w:spacing w:after="120"/>
        <w:ind w:firstLine="709"/>
        <w:jc w:val="both"/>
        <w:rPr>
          <w:rFonts w:ascii="Tahoma" w:hAnsi="Tahoma" w:cs="Tahoma"/>
          <w:sz w:val="20"/>
        </w:rPr>
      </w:pPr>
    </w:p>
    <w:p w14:paraId="20802E8A" w14:textId="020A748C" w:rsidR="00465C63" w:rsidRPr="00E8601E" w:rsidRDefault="002670EA" w:rsidP="00AD12FB">
      <w:pPr>
        <w:spacing w:after="120"/>
        <w:ind w:firstLine="709"/>
        <w:jc w:val="both"/>
        <w:rPr>
          <w:rFonts w:ascii="Tahoma" w:hAnsi="Tahoma" w:cs="Tahoma"/>
          <w:i/>
          <w:sz w:val="20"/>
        </w:rPr>
      </w:pPr>
      <w:r>
        <w:rPr>
          <w:rFonts w:ascii="Tahoma" w:hAnsi="Tahoma" w:cs="Tahoma"/>
          <w:i/>
          <w:noProof/>
          <w:sz w:val="20"/>
        </w:rPr>
        <w:fldChar w:fldCharType="begin"/>
      </w:r>
      <w:r>
        <w:rPr>
          <w:rFonts w:ascii="Tahoma" w:hAnsi="Tahoma" w:cs="Tahoma"/>
          <w:i/>
          <w:noProof/>
          <w:sz w:val="20"/>
        </w:rPr>
        <w:instrText xml:space="preserve"> MERGEFIELD COMITÊ </w:instrText>
      </w:r>
      <w:r>
        <w:rPr>
          <w:rFonts w:ascii="Tahoma" w:hAnsi="Tahoma" w:cs="Tahoma"/>
          <w:i/>
          <w:noProof/>
          <w:sz w:val="20"/>
        </w:rPr>
        <w:fldChar w:fldCharType="separate"/>
      </w:r>
      <w:r w:rsidR="00A14265" w:rsidRPr="00BC514D">
        <w:rPr>
          <w:rFonts w:ascii="Tahoma" w:hAnsi="Tahoma" w:cs="Tahoma"/>
          <w:i/>
          <w:noProof/>
          <w:sz w:val="20"/>
        </w:rPr>
        <w:t>COMITÊ DE INVESTIMENTOS</w:t>
      </w:r>
      <w:r>
        <w:rPr>
          <w:rFonts w:ascii="Tahoma" w:hAnsi="Tahoma" w:cs="Tahoma"/>
          <w:i/>
          <w:noProof/>
          <w:sz w:val="20"/>
        </w:rPr>
        <w:fldChar w:fldCharType="end"/>
      </w:r>
    </w:p>
    <w:p w14:paraId="70861A9A" w14:textId="476678EE" w:rsidR="00465C63" w:rsidRPr="00C02E24" w:rsidRDefault="00465C63" w:rsidP="00AD12FB">
      <w:pPr>
        <w:pStyle w:val="PargrafodaLista"/>
        <w:numPr>
          <w:ilvl w:val="0"/>
          <w:numId w:val="3"/>
        </w:numPr>
        <w:spacing w:after="120"/>
        <w:ind w:firstLine="709"/>
        <w:jc w:val="both"/>
        <w:rPr>
          <w:rFonts w:ascii="Tahoma" w:hAnsi="Tahoma" w:cs="Tahoma"/>
          <w:sz w:val="20"/>
        </w:rPr>
      </w:pPr>
      <w:r w:rsidRPr="00C02E24">
        <w:rPr>
          <w:rFonts w:ascii="Tahoma" w:hAnsi="Tahoma" w:cs="Tahoma"/>
          <w:sz w:val="20"/>
        </w:rPr>
        <w:t xml:space="preserve">Estabelecer as diretrizes gerais da </w:t>
      </w:r>
      <w:r w:rsidR="007A0B11" w:rsidRPr="00C02E24">
        <w:rPr>
          <w:rFonts w:ascii="Tahoma" w:hAnsi="Tahoma" w:cs="Tahoma"/>
          <w:sz w:val="20"/>
        </w:rPr>
        <w:t>Política de Investimentos</w:t>
      </w:r>
      <w:r w:rsidRPr="00C02E24">
        <w:rPr>
          <w:rFonts w:ascii="Tahoma" w:hAnsi="Tahoma" w:cs="Tahoma"/>
          <w:sz w:val="20"/>
        </w:rPr>
        <w:t xml:space="preserve"> de gestão financeira dos recursos do regime previdenciário, submetendo-as ao devido órgão para aprovação;</w:t>
      </w:r>
    </w:p>
    <w:p w14:paraId="63B7882B" w14:textId="6F7BBD83" w:rsidR="00465C63" w:rsidRPr="00C02E24" w:rsidRDefault="00465C63" w:rsidP="00AD12FB">
      <w:pPr>
        <w:pStyle w:val="PargrafodaLista"/>
        <w:numPr>
          <w:ilvl w:val="0"/>
          <w:numId w:val="3"/>
        </w:numPr>
        <w:spacing w:after="120"/>
        <w:ind w:firstLine="709"/>
        <w:jc w:val="both"/>
        <w:rPr>
          <w:rFonts w:ascii="Tahoma" w:hAnsi="Tahoma" w:cs="Tahoma"/>
          <w:sz w:val="20"/>
        </w:rPr>
      </w:pPr>
      <w:r w:rsidRPr="00C02E24">
        <w:rPr>
          <w:rFonts w:ascii="Tahoma" w:hAnsi="Tahoma" w:cs="Tahoma"/>
          <w:sz w:val="20"/>
        </w:rPr>
        <w:t>Propor e aprovar os planos de aplicação financeira dos recursos do regime previdenciário em consonância com a Resolução</w:t>
      </w:r>
      <w:r w:rsidR="00C50758" w:rsidRPr="00C02E24">
        <w:rPr>
          <w:rFonts w:ascii="Tahoma" w:hAnsi="Tahoma" w:cs="Tahoma"/>
          <w:sz w:val="20"/>
        </w:rPr>
        <w:t xml:space="preserve"> nº</w:t>
      </w:r>
      <w:r w:rsidRPr="00C02E24">
        <w:rPr>
          <w:rFonts w:ascii="Tahoma" w:hAnsi="Tahoma" w:cs="Tahoma"/>
          <w:sz w:val="20"/>
        </w:rPr>
        <w:t xml:space="preserve"> </w:t>
      </w:r>
      <w:r w:rsidR="00CB03D4" w:rsidRPr="00C02E24">
        <w:rPr>
          <w:rFonts w:ascii="Tahoma" w:hAnsi="Tahoma" w:cs="Tahoma"/>
          <w:sz w:val="20"/>
        </w:rPr>
        <w:t>4.963</w:t>
      </w:r>
      <w:r w:rsidRPr="00C02E24">
        <w:rPr>
          <w:rFonts w:ascii="Tahoma" w:hAnsi="Tahoma" w:cs="Tahoma"/>
          <w:sz w:val="20"/>
        </w:rPr>
        <w:t>/</w:t>
      </w:r>
      <w:r w:rsidR="00CB03D4" w:rsidRPr="00C02E24">
        <w:rPr>
          <w:rFonts w:ascii="Tahoma" w:hAnsi="Tahoma" w:cs="Tahoma"/>
          <w:sz w:val="20"/>
        </w:rPr>
        <w:t>2021</w:t>
      </w:r>
      <w:r w:rsidRPr="00C02E24">
        <w:rPr>
          <w:rFonts w:ascii="Tahoma" w:hAnsi="Tahoma" w:cs="Tahoma"/>
          <w:sz w:val="20"/>
        </w:rPr>
        <w:t xml:space="preserve"> do Conselho Monetário Nacional;</w:t>
      </w:r>
    </w:p>
    <w:p w14:paraId="12EFCE23" w14:textId="77777777" w:rsidR="00465C63" w:rsidRPr="00E8601E" w:rsidRDefault="00465C63" w:rsidP="00AD12FB">
      <w:pPr>
        <w:pStyle w:val="PargrafodaLista"/>
        <w:numPr>
          <w:ilvl w:val="0"/>
          <w:numId w:val="3"/>
        </w:numPr>
        <w:spacing w:after="120"/>
        <w:ind w:firstLine="709"/>
        <w:jc w:val="both"/>
        <w:rPr>
          <w:rFonts w:ascii="Tahoma" w:hAnsi="Tahoma" w:cs="Tahoma"/>
          <w:sz w:val="20"/>
        </w:rPr>
      </w:pPr>
      <w:r w:rsidRPr="00C02E24">
        <w:rPr>
          <w:rFonts w:ascii="Tahoma" w:hAnsi="Tahoma" w:cs="Tahoma"/>
          <w:sz w:val="20"/>
        </w:rPr>
        <w:t>Analisar a adoção de melhores estratégias</w:t>
      </w:r>
      <w:r w:rsidRPr="00E8601E">
        <w:rPr>
          <w:rFonts w:ascii="Tahoma" w:hAnsi="Tahoma" w:cs="Tahoma"/>
          <w:sz w:val="20"/>
        </w:rPr>
        <w:t xml:space="preserve"> para as aplicações dos recursos, visando o cumprimento da meta atuarial;</w:t>
      </w:r>
    </w:p>
    <w:p w14:paraId="14C3D981" w14:textId="77777777" w:rsidR="00465C63" w:rsidRPr="00E8601E" w:rsidRDefault="00465C63" w:rsidP="00AD12FB">
      <w:pPr>
        <w:pStyle w:val="PargrafodaLista"/>
        <w:numPr>
          <w:ilvl w:val="0"/>
          <w:numId w:val="3"/>
        </w:numPr>
        <w:spacing w:after="120"/>
        <w:ind w:firstLine="709"/>
        <w:jc w:val="both"/>
        <w:rPr>
          <w:rFonts w:ascii="Tahoma" w:hAnsi="Tahoma" w:cs="Tahoma"/>
          <w:sz w:val="20"/>
        </w:rPr>
      </w:pPr>
      <w:r w:rsidRPr="00E8601E">
        <w:rPr>
          <w:rFonts w:ascii="Tahoma" w:hAnsi="Tahoma" w:cs="Tahoma"/>
          <w:sz w:val="20"/>
        </w:rPr>
        <w:t>Apreciar mensalmente o cenário Econômico-Financeiro de curto, médio e longo prazo;</w:t>
      </w:r>
    </w:p>
    <w:p w14:paraId="387BD399" w14:textId="77777777" w:rsidR="00465C63" w:rsidRPr="002A084B" w:rsidRDefault="00465C63" w:rsidP="00AD12FB">
      <w:pPr>
        <w:pStyle w:val="PargrafodaLista"/>
        <w:numPr>
          <w:ilvl w:val="0"/>
          <w:numId w:val="3"/>
        </w:numPr>
        <w:spacing w:after="120"/>
        <w:ind w:firstLine="709"/>
        <w:jc w:val="both"/>
        <w:rPr>
          <w:rFonts w:ascii="Tahoma" w:hAnsi="Tahoma" w:cs="Tahoma"/>
          <w:sz w:val="20"/>
        </w:rPr>
      </w:pPr>
      <w:r w:rsidRPr="002A084B">
        <w:rPr>
          <w:rFonts w:ascii="Tahoma" w:hAnsi="Tahoma" w:cs="Tahoma"/>
          <w:sz w:val="20"/>
        </w:rPr>
        <w:t>Observar e aplicar os limites de alocações de acordo com a legislação vigente;</w:t>
      </w:r>
    </w:p>
    <w:p w14:paraId="01717518" w14:textId="7A1309AF" w:rsidR="00465C63" w:rsidRPr="00C02E24" w:rsidRDefault="00465C63" w:rsidP="00AD12FB">
      <w:pPr>
        <w:pStyle w:val="PargrafodaLista"/>
        <w:numPr>
          <w:ilvl w:val="0"/>
          <w:numId w:val="3"/>
        </w:numPr>
        <w:spacing w:after="120"/>
        <w:ind w:firstLine="709"/>
        <w:jc w:val="both"/>
        <w:rPr>
          <w:rFonts w:ascii="Tahoma" w:hAnsi="Tahoma" w:cs="Tahoma"/>
          <w:sz w:val="20"/>
        </w:rPr>
      </w:pPr>
      <w:r w:rsidRPr="00C02E24">
        <w:rPr>
          <w:rFonts w:ascii="Tahoma" w:hAnsi="Tahoma" w:cs="Tahoma"/>
          <w:sz w:val="20"/>
        </w:rPr>
        <w:t xml:space="preserve">Deliberar, após as devidas análises, </w:t>
      </w:r>
      <w:r w:rsidR="005D3A43">
        <w:rPr>
          <w:rFonts w:ascii="Tahoma" w:hAnsi="Tahoma" w:cs="Tahoma"/>
          <w:sz w:val="20"/>
        </w:rPr>
        <w:t xml:space="preserve">sobre </w:t>
      </w:r>
      <w:r w:rsidRPr="00C02E24">
        <w:rPr>
          <w:rFonts w:ascii="Tahoma" w:hAnsi="Tahoma" w:cs="Tahoma"/>
          <w:sz w:val="20"/>
        </w:rPr>
        <w:t xml:space="preserve">a renovação do credenciamento das </w:t>
      </w:r>
      <w:r w:rsidR="00C50758" w:rsidRPr="00C02E24">
        <w:rPr>
          <w:rFonts w:ascii="Tahoma" w:hAnsi="Tahoma" w:cs="Tahoma"/>
          <w:sz w:val="20"/>
        </w:rPr>
        <w:t>i</w:t>
      </w:r>
      <w:r w:rsidRPr="00C02E24">
        <w:rPr>
          <w:rFonts w:ascii="Tahoma" w:hAnsi="Tahoma" w:cs="Tahoma"/>
          <w:sz w:val="20"/>
        </w:rPr>
        <w:t xml:space="preserve">nstituições </w:t>
      </w:r>
      <w:r w:rsidR="00C50758" w:rsidRPr="00C02E24">
        <w:rPr>
          <w:rFonts w:ascii="Tahoma" w:hAnsi="Tahoma" w:cs="Tahoma"/>
          <w:sz w:val="20"/>
        </w:rPr>
        <w:t>f</w:t>
      </w:r>
      <w:r w:rsidRPr="00C02E24">
        <w:rPr>
          <w:rFonts w:ascii="Tahoma" w:hAnsi="Tahoma" w:cs="Tahoma"/>
          <w:sz w:val="20"/>
        </w:rPr>
        <w:t>inanceiras, e sugerir, se necessário, o credenciamento de novas instituições financeiras;</w:t>
      </w:r>
    </w:p>
    <w:p w14:paraId="78A5CB65" w14:textId="77777777" w:rsidR="00465C63" w:rsidRPr="002A084B" w:rsidRDefault="00465C63" w:rsidP="00AD12FB">
      <w:pPr>
        <w:pStyle w:val="PargrafodaLista"/>
        <w:numPr>
          <w:ilvl w:val="0"/>
          <w:numId w:val="3"/>
        </w:numPr>
        <w:spacing w:after="120"/>
        <w:ind w:firstLine="709"/>
        <w:jc w:val="both"/>
        <w:rPr>
          <w:rFonts w:ascii="Tahoma" w:hAnsi="Tahoma" w:cs="Tahoma"/>
          <w:sz w:val="20"/>
        </w:rPr>
      </w:pPr>
      <w:r w:rsidRPr="002A084B">
        <w:rPr>
          <w:rFonts w:ascii="Tahoma" w:hAnsi="Tahoma" w:cs="Tahoma"/>
          <w:sz w:val="20"/>
        </w:rPr>
        <w:t>Analisar taxas de juros, administração e de performance das aplicações existentes e as que vierem a ser realizadas;</w:t>
      </w:r>
    </w:p>
    <w:p w14:paraId="0B78CBF2" w14:textId="53270CD2" w:rsidR="00465C63" w:rsidRDefault="00465C63" w:rsidP="00AD12FB">
      <w:pPr>
        <w:pStyle w:val="PargrafodaLista"/>
        <w:numPr>
          <w:ilvl w:val="0"/>
          <w:numId w:val="3"/>
        </w:numPr>
        <w:spacing w:after="120"/>
        <w:ind w:firstLine="709"/>
        <w:jc w:val="both"/>
        <w:rPr>
          <w:rFonts w:ascii="Tahoma" w:hAnsi="Tahoma" w:cs="Tahoma"/>
          <w:sz w:val="20"/>
        </w:rPr>
      </w:pPr>
      <w:r w:rsidRPr="002A084B">
        <w:rPr>
          <w:rFonts w:ascii="Tahoma" w:hAnsi="Tahoma" w:cs="Tahoma"/>
          <w:sz w:val="20"/>
        </w:rPr>
        <w:t>Fornecer subsídios à Diretoria e ao Conselho, se necessário, recomendando eventual alteração e/ou realocação que julgar procedente referente a carteira de investimentos do RPPS</w:t>
      </w:r>
      <w:r w:rsidR="00333690">
        <w:rPr>
          <w:rFonts w:ascii="Tahoma" w:hAnsi="Tahoma" w:cs="Tahoma"/>
          <w:sz w:val="20"/>
        </w:rPr>
        <w:t>;</w:t>
      </w:r>
    </w:p>
    <w:p w14:paraId="5C373378" w14:textId="3492F6AD" w:rsidR="00C02E24" w:rsidRPr="00946F98" w:rsidRDefault="00333690" w:rsidP="00C02E24">
      <w:pPr>
        <w:pStyle w:val="PargrafodaLista"/>
        <w:numPr>
          <w:ilvl w:val="0"/>
          <w:numId w:val="3"/>
        </w:numPr>
        <w:ind w:firstLine="709"/>
        <w:jc w:val="both"/>
        <w:rPr>
          <w:rFonts w:ascii="Tahoma" w:hAnsi="Tahoma" w:cs="Tahoma"/>
          <w:sz w:val="20"/>
        </w:rPr>
      </w:pPr>
      <w:r w:rsidRPr="00946F98">
        <w:rPr>
          <w:rFonts w:ascii="Tahoma" w:hAnsi="Tahoma" w:cs="Tahoma"/>
          <w:sz w:val="20"/>
        </w:rPr>
        <w:t>Elaborar, no mínimo, trimestralmente</w:t>
      </w:r>
      <w:r w:rsidR="00C02E24" w:rsidRPr="00946F98">
        <w:rPr>
          <w:rFonts w:ascii="Tahoma" w:hAnsi="Tahoma" w:cs="Tahoma"/>
          <w:sz w:val="20"/>
        </w:rPr>
        <w:t xml:space="preserve"> </w:t>
      </w:r>
      <w:r w:rsidR="00C02E24" w:rsidRPr="00946F98">
        <w:rPr>
          <w:rFonts w:ascii="Tahoma" w:hAnsi="Tahoma" w:cs="Tahoma"/>
          <w:b/>
          <w:bCs/>
          <w:sz w:val="20"/>
        </w:rPr>
        <w:t xml:space="preserve">(Art. 136 Portaria MTP </w:t>
      </w:r>
      <w:r w:rsidR="00946F98" w:rsidRPr="00946F98">
        <w:rPr>
          <w:rFonts w:ascii="Tahoma" w:hAnsi="Tahoma" w:cs="Tahoma"/>
          <w:b/>
          <w:bCs/>
          <w:sz w:val="20"/>
        </w:rPr>
        <w:t xml:space="preserve"> nº </w:t>
      </w:r>
      <w:r w:rsidR="00C02E24" w:rsidRPr="00946F98">
        <w:rPr>
          <w:rFonts w:ascii="Tahoma" w:hAnsi="Tahoma" w:cs="Tahoma"/>
          <w:b/>
          <w:bCs/>
          <w:sz w:val="20"/>
        </w:rPr>
        <w:t>1.467/2022)</w:t>
      </w:r>
      <w:r w:rsidRPr="00946F98">
        <w:rPr>
          <w:rFonts w:ascii="Tahoma" w:hAnsi="Tahoma" w:cs="Tahoma"/>
          <w:sz w:val="20"/>
        </w:rPr>
        <w:t xml:space="preserve">, relatórios detalhados sobre a rentabilidade, os riscos das diversas modalidades de operações realizadas nas aplicações dos recursos do regime e a aderência à </w:t>
      </w:r>
      <w:r w:rsidR="007A0B11" w:rsidRPr="00946F98">
        <w:rPr>
          <w:rFonts w:ascii="Tahoma" w:hAnsi="Tahoma" w:cs="Tahoma"/>
          <w:sz w:val="20"/>
        </w:rPr>
        <w:t>Política de Investimentos</w:t>
      </w:r>
      <w:r w:rsidRPr="00946F98">
        <w:rPr>
          <w:rFonts w:ascii="Tahoma" w:hAnsi="Tahoma" w:cs="Tahoma"/>
          <w:sz w:val="20"/>
        </w:rPr>
        <w:t>, que deverão ser submetidos para avaliação e adoção de providências pelos órgãos responsáveis, conforme atribuições estabelecidas na forma do §2º do art. 86</w:t>
      </w:r>
      <w:r w:rsidR="00C02E24" w:rsidRPr="00946F98">
        <w:rPr>
          <w:rFonts w:ascii="Tahoma" w:hAnsi="Tahoma" w:cs="Tahoma"/>
          <w:sz w:val="20"/>
        </w:rPr>
        <w:t xml:space="preserve"> da Portaria MTP 1.467/2022;</w:t>
      </w:r>
    </w:p>
    <w:p w14:paraId="1FF2F8A1" w14:textId="4F911772" w:rsidR="00333690" w:rsidRPr="00946F98" w:rsidRDefault="00333690" w:rsidP="00AD12FB">
      <w:pPr>
        <w:pStyle w:val="PargrafodaLista"/>
        <w:numPr>
          <w:ilvl w:val="0"/>
          <w:numId w:val="3"/>
        </w:numPr>
        <w:ind w:firstLine="709"/>
        <w:jc w:val="both"/>
        <w:rPr>
          <w:rFonts w:ascii="Tahoma" w:hAnsi="Tahoma" w:cs="Tahoma"/>
          <w:sz w:val="20"/>
        </w:rPr>
      </w:pPr>
      <w:r w:rsidRPr="00946F98">
        <w:rPr>
          <w:rFonts w:ascii="Tahoma" w:hAnsi="Tahoma" w:cs="Tahoma"/>
          <w:b/>
          <w:bCs/>
          <w:sz w:val="20"/>
        </w:rPr>
        <w:t xml:space="preserve">No início de cada exercício, </w:t>
      </w:r>
      <w:r w:rsidRPr="00946F98">
        <w:rPr>
          <w:rFonts w:ascii="Tahoma" w:hAnsi="Tahoma" w:cs="Tahoma"/>
          <w:sz w:val="20"/>
        </w:rPr>
        <w:t xml:space="preserve">deverá apresentar aos conselhos o relatório de acompanhamento da execução da </w:t>
      </w:r>
      <w:r w:rsidR="007A0B11" w:rsidRPr="00946F98">
        <w:rPr>
          <w:rFonts w:ascii="Tahoma" w:hAnsi="Tahoma" w:cs="Tahoma"/>
          <w:sz w:val="20"/>
        </w:rPr>
        <w:t>Política de Investimentos</w:t>
      </w:r>
      <w:r w:rsidRPr="00946F98">
        <w:rPr>
          <w:rFonts w:ascii="Tahoma" w:hAnsi="Tahoma" w:cs="Tahoma"/>
          <w:sz w:val="20"/>
        </w:rPr>
        <w:t xml:space="preserve"> relativo ao ano anterior</w:t>
      </w:r>
      <w:r w:rsidR="00946F98" w:rsidRPr="00946F98">
        <w:rPr>
          <w:rFonts w:ascii="Tahoma" w:hAnsi="Tahoma" w:cs="Tahoma"/>
          <w:sz w:val="20"/>
        </w:rPr>
        <w:t xml:space="preserve">, conforme </w:t>
      </w:r>
      <w:r w:rsidRPr="00946F98">
        <w:rPr>
          <w:rFonts w:ascii="Tahoma" w:hAnsi="Tahoma" w:cs="Tahoma"/>
          <w:sz w:val="20"/>
        </w:rPr>
        <w:t>Art. 101 § 3º</w:t>
      </w:r>
      <w:r w:rsidR="00946F98" w:rsidRPr="00946F98">
        <w:rPr>
          <w:rFonts w:ascii="Tahoma" w:hAnsi="Tahoma" w:cs="Tahoma"/>
          <w:sz w:val="20"/>
        </w:rPr>
        <w:t xml:space="preserve"> de</w:t>
      </w:r>
      <w:r w:rsidRPr="00946F98">
        <w:rPr>
          <w:rFonts w:ascii="Tahoma" w:hAnsi="Tahoma" w:cs="Tahoma"/>
          <w:sz w:val="20"/>
        </w:rPr>
        <w:t xml:space="preserve"> Portaria MTP</w:t>
      </w:r>
      <w:r w:rsidR="00C50758" w:rsidRPr="00946F98">
        <w:rPr>
          <w:rFonts w:ascii="Tahoma" w:hAnsi="Tahoma" w:cs="Tahoma"/>
          <w:sz w:val="20"/>
        </w:rPr>
        <w:t xml:space="preserve"> nº</w:t>
      </w:r>
      <w:r w:rsidRPr="00946F98">
        <w:rPr>
          <w:rFonts w:ascii="Tahoma" w:hAnsi="Tahoma" w:cs="Tahoma"/>
          <w:sz w:val="20"/>
        </w:rPr>
        <w:t xml:space="preserve"> </w:t>
      </w:r>
      <w:r w:rsidR="007F6D14" w:rsidRPr="00946F98">
        <w:rPr>
          <w:rFonts w:ascii="Tahoma" w:hAnsi="Tahoma" w:cs="Tahoma"/>
          <w:sz w:val="20"/>
        </w:rPr>
        <w:t>1.467</w:t>
      </w:r>
      <w:r w:rsidRPr="00946F98">
        <w:rPr>
          <w:rFonts w:ascii="Tahoma" w:hAnsi="Tahoma" w:cs="Tahoma"/>
          <w:sz w:val="20"/>
        </w:rPr>
        <w:t>/2022.</w:t>
      </w:r>
    </w:p>
    <w:p w14:paraId="3434B14C" w14:textId="77777777" w:rsidR="00465C63" w:rsidRDefault="00465C63" w:rsidP="00AD12FB">
      <w:pPr>
        <w:spacing w:after="120"/>
        <w:ind w:firstLine="709"/>
        <w:jc w:val="both"/>
        <w:rPr>
          <w:rFonts w:ascii="Tahoma" w:hAnsi="Tahoma" w:cs="Tahoma"/>
          <w:b/>
          <w:sz w:val="20"/>
        </w:rPr>
      </w:pPr>
    </w:p>
    <w:p w14:paraId="648274CB" w14:textId="77777777" w:rsidR="00465C63" w:rsidRPr="000C021C" w:rsidRDefault="00465C63" w:rsidP="000C021C">
      <w:pPr>
        <w:pStyle w:val="Ttulo2"/>
        <w:rPr>
          <w:rFonts w:ascii="Tahoma" w:hAnsi="Tahoma" w:cs="Tahoma"/>
          <w:b/>
          <w:color w:val="auto"/>
          <w:sz w:val="20"/>
        </w:rPr>
      </w:pPr>
      <w:bookmarkStart w:id="34" w:name="_Toc181542580"/>
      <w:r w:rsidRPr="000C021C">
        <w:rPr>
          <w:rFonts w:ascii="Tahoma" w:hAnsi="Tahoma" w:cs="Tahoma"/>
          <w:b/>
          <w:color w:val="auto"/>
          <w:sz w:val="20"/>
        </w:rPr>
        <w:t>Objetivo de Alocação</w:t>
      </w:r>
      <w:bookmarkEnd w:id="34"/>
    </w:p>
    <w:p w14:paraId="2DD99DC4" w14:textId="14C6E69F" w:rsidR="00465C63" w:rsidRPr="00E8601E" w:rsidRDefault="00465C63" w:rsidP="00AD12FB">
      <w:pPr>
        <w:spacing w:after="120"/>
        <w:ind w:firstLine="709"/>
        <w:jc w:val="both"/>
        <w:rPr>
          <w:rFonts w:ascii="Tahoma" w:hAnsi="Tahoma" w:cs="Tahoma"/>
          <w:b/>
          <w:sz w:val="20"/>
        </w:rPr>
      </w:pPr>
      <w:r w:rsidRPr="00E8601E">
        <w:rPr>
          <w:rFonts w:ascii="Tahoma" w:hAnsi="Tahoma" w:cs="Tahoma"/>
          <w:sz w:val="20"/>
        </w:rPr>
        <w:t xml:space="preserve">É importante ressaltar que, seja qual for </w:t>
      </w:r>
      <w:r w:rsidR="00174B0E">
        <w:rPr>
          <w:rFonts w:ascii="Tahoma" w:hAnsi="Tahoma" w:cs="Tahoma"/>
          <w:sz w:val="20"/>
        </w:rPr>
        <w:t>a</w:t>
      </w:r>
      <w:r w:rsidRPr="00E8601E">
        <w:rPr>
          <w:rFonts w:ascii="Tahoma" w:hAnsi="Tahoma" w:cs="Tahoma"/>
          <w:sz w:val="20"/>
        </w:rPr>
        <w:t xml:space="preserve"> alocação de ativos, o mercado apresentará períodos adversos, que poderá afetar ao menos parte da carteira. Daí ser imperativo um horizonte de tempo que possa ajustar essas flutuações e permitir a recuperação da ocorrência de ocasionais perdas. Desta forma, o RPPS deve manter-se fiel à </w:t>
      </w:r>
      <w:r w:rsidR="007A0B11">
        <w:rPr>
          <w:rFonts w:ascii="Tahoma" w:hAnsi="Tahoma" w:cs="Tahoma"/>
          <w:sz w:val="20"/>
        </w:rPr>
        <w:t>Política de Investimentos</w:t>
      </w:r>
      <w:r w:rsidRPr="00E8601E">
        <w:rPr>
          <w:rFonts w:ascii="Tahoma" w:hAnsi="Tahoma" w:cs="Tahoma"/>
          <w:sz w:val="20"/>
        </w:rPr>
        <w:t xml:space="preserve"> definida originalmente a partir do seu perfil de risco.</w:t>
      </w:r>
      <w:r w:rsidR="005D3A43">
        <w:rPr>
          <w:rFonts w:ascii="Tahoma" w:hAnsi="Tahoma" w:cs="Tahoma"/>
          <w:sz w:val="20"/>
        </w:rPr>
        <w:t xml:space="preserve"> </w:t>
      </w:r>
      <w:r w:rsidRPr="00E8601E">
        <w:rPr>
          <w:rFonts w:ascii="Tahoma" w:hAnsi="Tahoma" w:cs="Tahoma"/>
          <w:sz w:val="20"/>
        </w:rPr>
        <w:t>E</w:t>
      </w:r>
      <w:r w:rsidR="005D3A43">
        <w:rPr>
          <w:rFonts w:ascii="Tahoma" w:hAnsi="Tahoma" w:cs="Tahoma"/>
          <w:sz w:val="20"/>
        </w:rPr>
        <w:t>,</w:t>
      </w:r>
      <w:r w:rsidRPr="00E8601E">
        <w:rPr>
          <w:rFonts w:ascii="Tahoma" w:hAnsi="Tahoma" w:cs="Tahoma"/>
          <w:sz w:val="20"/>
        </w:rPr>
        <w:t xml:space="preserve"> de forma organizada, remanejar a alocação inicial em momentos de alta (vendendo) </w:t>
      </w:r>
      <w:r w:rsidRPr="00E8601E">
        <w:rPr>
          <w:rFonts w:ascii="Tahoma" w:hAnsi="Tahoma" w:cs="Tahoma"/>
          <w:sz w:val="20"/>
        </w:rPr>
        <w:lastRenderedPageBreak/>
        <w:t>ou baixa (comprando) com o objetivo de rebalancear sua carteira de investimentos. Três virtudes básicas de um bom investidor são fundamentais: disciplina, paciência e diversificação</w:t>
      </w:r>
      <w:r w:rsidRPr="00E8601E">
        <w:rPr>
          <w:rFonts w:ascii="Tahoma" w:hAnsi="Tahoma" w:cs="Tahoma"/>
          <w:b/>
          <w:sz w:val="20"/>
        </w:rPr>
        <w:t>.</w:t>
      </w:r>
    </w:p>
    <w:p w14:paraId="10863D40" w14:textId="77777777" w:rsidR="00465C63" w:rsidRDefault="00465C63" w:rsidP="00AD12FB">
      <w:pPr>
        <w:spacing w:after="120"/>
        <w:ind w:firstLine="709"/>
        <w:jc w:val="both"/>
        <w:rPr>
          <w:rFonts w:ascii="Tahoma" w:hAnsi="Tahoma" w:cs="Tahoma"/>
          <w:b/>
          <w:sz w:val="20"/>
        </w:rPr>
      </w:pPr>
    </w:p>
    <w:p w14:paraId="599B0D82" w14:textId="77777777" w:rsidR="00465C63" w:rsidRPr="00E8601E" w:rsidRDefault="00465C63" w:rsidP="00EC5FD6">
      <w:pPr>
        <w:pStyle w:val="Subttulo"/>
        <w:rPr>
          <w:sz w:val="20"/>
        </w:rPr>
      </w:pPr>
      <w:bookmarkStart w:id="35" w:name="_Toc181542581"/>
      <w:r w:rsidRPr="00E8601E">
        <w:rPr>
          <w:sz w:val="20"/>
        </w:rPr>
        <w:t>Das Alocações dos Recursos</w:t>
      </w:r>
      <w:bookmarkEnd w:id="35"/>
    </w:p>
    <w:p w14:paraId="2C6210D7" w14:textId="77777777" w:rsidR="00465C63" w:rsidRPr="00E8601E" w:rsidRDefault="00465C63" w:rsidP="00AD12FB">
      <w:pPr>
        <w:spacing w:after="120"/>
        <w:ind w:firstLine="709"/>
        <w:jc w:val="both"/>
        <w:outlineLvl w:val="2"/>
        <w:rPr>
          <w:rStyle w:val="nfaseSutil"/>
          <w:sz w:val="20"/>
        </w:rPr>
      </w:pPr>
      <w:bookmarkStart w:id="36" w:name="_Toc181542582"/>
      <w:r w:rsidRPr="00E8601E">
        <w:rPr>
          <w:rStyle w:val="nfaseSutil"/>
          <w:sz w:val="20"/>
        </w:rPr>
        <w:t>Dos Segmentos</w:t>
      </w:r>
      <w:bookmarkEnd w:id="36"/>
    </w:p>
    <w:p w14:paraId="492CCF10" w14:textId="77777777" w:rsidR="00465C63" w:rsidRPr="00E8601E" w:rsidRDefault="00465C63" w:rsidP="00AD12FB">
      <w:pPr>
        <w:spacing w:after="120"/>
        <w:ind w:firstLine="709"/>
        <w:jc w:val="both"/>
        <w:rPr>
          <w:rFonts w:ascii="Tahoma" w:hAnsi="Tahoma" w:cs="Tahoma"/>
          <w:i/>
          <w:sz w:val="20"/>
        </w:rPr>
      </w:pPr>
      <w:r w:rsidRPr="00E8601E">
        <w:rPr>
          <w:rFonts w:ascii="Tahoma" w:hAnsi="Tahoma" w:cs="Tahoma"/>
          <w:i/>
          <w:sz w:val="20"/>
        </w:rPr>
        <w:t>Segmento de Renda Fixa</w:t>
      </w:r>
    </w:p>
    <w:p w14:paraId="5710732D" w14:textId="534BB785" w:rsidR="00465C63" w:rsidRPr="00E8601E" w:rsidRDefault="00465C63" w:rsidP="00AD12FB">
      <w:pPr>
        <w:spacing w:after="120"/>
        <w:ind w:firstLine="709"/>
        <w:jc w:val="both"/>
        <w:rPr>
          <w:rFonts w:ascii="Tahoma" w:hAnsi="Tahoma" w:cs="Tahoma"/>
          <w:sz w:val="20"/>
        </w:rPr>
      </w:pPr>
      <w:r w:rsidRPr="00E8601E">
        <w:rPr>
          <w:rFonts w:ascii="Tahoma" w:hAnsi="Tahoma" w:cs="Tahoma"/>
          <w:sz w:val="20"/>
        </w:rPr>
        <w:t xml:space="preserve">Benchmark. </w:t>
      </w:r>
      <w:r w:rsidR="002670EA" w:rsidRPr="007E1801">
        <w:rPr>
          <w:rFonts w:ascii="Tahoma" w:hAnsi="Tahoma" w:cs="Tahoma"/>
          <w:b/>
          <w:bCs/>
          <w:noProof/>
          <w:sz w:val="20"/>
        </w:rPr>
        <w:fldChar w:fldCharType="begin"/>
      </w:r>
      <w:r w:rsidR="002670EA" w:rsidRPr="007E1801">
        <w:rPr>
          <w:rFonts w:ascii="Tahoma" w:hAnsi="Tahoma" w:cs="Tahoma"/>
          <w:b/>
          <w:bCs/>
          <w:noProof/>
          <w:sz w:val="20"/>
        </w:rPr>
        <w:instrText xml:space="preserve"> MERGEFIELD META </w:instrText>
      </w:r>
      <w:r w:rsidR="002670EA" w:rsidRPr="007E1801">
        <w:rPr>
          <w:rFonts w:ascii="Tahoma" w:hAnsi="Tahoma" w:cs="Tahoma"/>
          <w:b/>
          <w:bCs/>
          <w:noProof/>
          <w:sz w:val="20"/>
        </w:rPr>
        <w:fldChar w:fldCharType="separate"/>
      </w:r>
      <w:r w:rsidR="00A14265" w:rsidRPr="00BC514D">
        <w:rPr>
          <w:rFonts w:ascii="Tahoma" w:hAnsi="Tahoma" w:cs="Tahoma"/>
          <w:b/>
          <w:bCs/>
          <w:noProof/>
          <w:sz w:val="20"/>
        </w:rPr>
        <w:t>INPC + 5,47%</w:t>
      </w:r>
      <w:r w:rsidR="002670EA" w:rsidRPr="007E1801">
        <w:rPr>
          <w:rFonts w:ascii="Tahoma" w:hAnsi="Tahoma" w:cs="Tahoma"/>
          <w:b/>
          <w:bCs/>
          <w:noProof/>
          <w:sz w:val="20"/>
        </w:rPr>
        <w:fldChar w:fldCharType="end"/>
      </w:r>
      <w:r w:rsidRPr="007E1801">
        <w:rPr>
          <w:rFonts w:ascii="Tahoma" w:hAnsi="Tahoma" w:cs="Tahoma"/>
          <w:b/>
          <w:bCs/>
          <w:sz w:val="20"/>
        </w:rPr>
        <w:t xml:space="preserve"> a.a.</w:t>
      </w:r>
      <w:r w:rsidRPr="00E8601E">
        <w:rPr>
          <w:rFonts w:ascii="Tahoma" w:hAnsi="Tahoma" w:cs="Tahoma"/>
          <w:sz w:val="20"/>
        </w:rPr>
        <w:t>, equivalente à meta atuarial.</w:t>
      </w:r>
    </w:p>
    <w:p w14:paraId="2D1F6170" w14:textId="6DA54696" w:rsidR="00465C63" w:rsidRPr="00C02E24" w:rsidRDefault="00465C63" w:rsidP="00AD12FB">
      <w:pPr>
        <w:spacing w:after="120"/>
        <w:ind w:firstLine="709"/>
        <w:jc w:val="both"/>
        <w:rPr>
          <w:rFonts w:ascii="Tahoma" w:hAnsi="Tahoma" w:cs="Tahoma"/>
          <w:sz w:val="20"/>
        </w:rPr>
      </w:pPr>
      <w:r w:rsidRPr="00C02E24">
        <w:rPr>
          <w:rFonts w:ascii="Tahoma" w:hAnsi="Tahoma" w:cs="Tahoma"/>
          <w:sz w:val="20"/>
        </w:rPr>
        <w:t xml:space="preserve">Ativos Elegíveis. Serão considerados ativos elegíveis para o segmento de renda fixa, os títulos e valores mobiliários permitidos pela legislação vigente aplicável ao </w:t>
      </w:r>
      <w:r w:rsidR="00F53C5D" w:rsidRPr="00C02E24">
        <w:rPr>
          <w:rFonts w:ascii="Tahoma" w:hAnsi="Tahoma" w:cs="Tahoma"/>
          <w:sz w:val="20"/>
        </w:rPr>
        <w:t>Regime Próprio de Previdência Social</w:t>
      </w:r>
      <w:r w:rsidRPr="00C02E24">
        <w:rPr>
          <w:rFonts w:ascii="Tahoma" w:hAnsi="Tahoma" w:cs="Tahoma"/>
          <w:sz w:val="20"/>
        </w:rPr>
        <w:t xml:space="preserve">. Deverão ser observados os limites e categorias de fundos do segmento de renda fixa definidos na Resolução CMN </w:t>
      </w:r>
      <w:r w:rsidR="00C50758" w:rsidRPr="00C02E24">
        <w:rPr>
          <w:rFonts w:ascii="Tahoma" w:hAnsi="Tahoma" w:cs="Tahoma"/>
          <w:sz w:val="20"/>
        </w:rPr>
        <w:t xml:space="preserve">nº </w:t>
      </w:r>
      <w:r w:rsidR="00CB03D4" w:rsidRPr="00C02E24">
        <w:rPr>
          <w:rFonts w:ascii="Tahoma" w:hAnsi="Tahoma" w:cs="Tahoma"/>
          <w:sz w:val="20"/>
        </w:rPr>
        <w:t>4.963/2021</w:t>
      </w:r>
      <w:r w:rsidRPr="00C02E24">
        <w:rPr>
          <w:rFonts w:ascii="Tahoma" w:hAnsi="Tahoma" w:cs="Tahoma"/>
          <w:sz w:val="20"/>
        </w:rPr>
        <w:t xml:space="preserve"> e nesta política anual de investimentos. No caso de operações realizadas no mercado secundário (</w:t>
      </w:r>
      <w:r w:rsidRPr="00E8601E">
        <w:rPr>
          <w:rFonts w:ascii="Tahoma" w:hAnsi="Tahoma" w:cs="Tahoma"/>
          <w:sz w:val="20"/>
        </w:rPr>
        <w:t xml:space="preserve">compra e venda de títulos públicos) o </w:t>
      </w:r>
      <w:r w:rsidR="00F53C5D">
        <w:rPr>
          <w:rFonts w:ascii="Tahoma" w:hAnsi="Tahoma" w:cs="Tahoma"/>
          <w:sz w:val="20"/>
        </w:rPr>
        <w:t>Regime Próprio de Previdência Social</w:t>
      </w:r>
      <w:r w:rsidRPr="00344EA0">
        <w:rPr>
          <w:rFonts w:ascii="Tahoma" w:hAnsi="Tahoma" w:cs="Tahoma"/>
          <w:sz w:val="20"/>
        </w:rPr>
        <w:t xml:space="preserve"> do</w:t>
      </w:r>
      <w:r w:rsidRPr="00344EA0">
        <w:rPr>
          <w:rFonts w:ascii="Tahoma" w:hAnsi="Tahoma" w:cs="Tahoma"/>
          <w:b/>
          <w:sz w:val="20"/>
        </w:rPr>
        <w:t xml:space="preserve"> </w:t>
      </w:r>
      <w:r w:rsidR="002670EA">
        <w:rPr>
          <w:rFonts w:ascii="Tahoma" w:hAnsi="Tahoma" w:cs="Tahoma"/>
          <w:b/>
          <w:noProof/>
          <w:sz w:val="20"/>
        </w:rPr>
        <w:fldChar w:fldCharType="begin"/>
      </w:r>
      <w:r w:rsidR="002670EA">
        <w:rPr>
          <w:rFonts w:ascii="Tahoma" w:hAnsi="Tahoma" w:cs="Tahoma"/>
          <w:b/>
          <w:noProof/>
          <w:sz w:val="20"/>
        </w:rPr>
        <w:instrText xml:space="preserve"> MERGEFIELD RPPS </w:instrText>
      </w:r>
      <w:r w:rsidR="002670EA">
        <w:rPr>
          <w:rFonts w:ascii="Tahoma" w:hAnsi="Tahoma" w:cs="Tahoma"/>
          <w:b/>
          <w:noProof/>
          <w:sz w:val="20"/>
        </w:rPr>
        <w:fldChar w:fldCharType="separate"/>
      </w:r>
      <w:r w:rsidR="00A14265" w:rsidRPr="00BC514D">
        <w:rPr>
          <w:rFonts w:ascii="Tahoma" w:hAnsi="Tahoma" w:cs="Tahoma"/>
          <w:b/>
          <w:noProof/>
          <w:sz w:val="20"/>
        </w:rPr>
        <w:t>MUNICÍPIO DE TRIUNFO</w:t>
      </w:r>
      <w:r w:rsidR="002670EA">
        <w:rPr>
          <w:rFonts w:ascii="Tahoma" w:hAnsi="Tahoma" w:cs="Tahoma"/>
          <w:b/>
          <w:noProof/>
          <w:sz w:val="20"/>
        </w:rPr>
        <w:fldChar w:fldCharType="end"/>
      </w:r>
      <w:r w:rsidRPr="00903574">
        <w:rPr>
          <w:rFonts w:ascii="Tahoma" w:hAnsi="Tahoma" w:cs="Tahoma"/>
          <w:b/>
          <w:sz w:val="20"/>
        </w:rPr>
        <w:t xml:space="preserve"> </w:t>
      </w:r>
      <w:r w:rsidRPr="00344EA0">
        <w:rPr>
          <w:rFonts w:ascii="Tahoma" w:hAnsi="Tahoma" w:cs="Tahoma"/>
          <w:sz w:val="20"/>
        </w:rPr>
        <w:t>deverá realizar</w:t>
      </w:r>
      <w:r w:rsidRPr="00E8601E">
        <w:rPr>
          <w:rFonts w:ascii="Tahoma" w:hAnsi="Tahoma" w:cs="Tahoma"/>
          <w:sz w:val="20"/>
        </w:rPr>
        <w:t xml:space="preserve"> o acompanhamento dos preços e taxas praticados em tais operações </w:t>
      </w:r>
      <w:r w:rsidRPr="00C02E24">
        <w:rPr>
          <w:rFonts w:ascii="Tahoma" w:hAnsi="Tahoma" w:cs="Tahoma"/>
          <w:sz w:val="20"/>
        </w:rPr>
        <w:t>e compará-los aos preços e taxas de referência do mercado (ANBIMA e Tesouro Nacional).</w:t>
      </w:r>
    </w:p>
    <w:p w14:paraId="4DCD2248" w14:textId="77777777" w:rsidR="00465C63" w:rsidRPr="00C02E24" w:rsidRDefault="00465C63" w:rsidP="00AD12FB">
      <w:pPr>
        <w:spacing w:after="120"/>
        <w:ind w:firstLine="709"/>
        <w:jc w:val="both"/>
        <w:rPr>
          <w:rFonts w:ascii="Tahoma" w:hAnsi="Tahoma" w:cs="Tahoma"/>
          <w:i/>
          <w:sz w:val="20"/>
        </w:rPr>
      </w:pPr>
      <w:r w:rsidRPr="00C02E24">
        <w:rPr>
          <w:rFonts w:ascii="Tahoma" w:hAnsi="Tahoma" w:cs="Tahoma"/>
          <w:i/>
          <w:sz w:val="20"/>
        </w:rPr>
        <w:t>Segmento de Renda Variável</w:t>
      </w:r>
    </w:p>
    <w:p w14:paraId="51A8FD9F" w14:textId="1D958EFF" w:rsidR="00465C63" w:rsidRPr="00C02E24" w:rsidRDefault="00465C63" w:rsidP="00AD12FB">
      <w:pPr>
        <w:spacing w:after="120"/>
        <w:ind w:firstLine="709"/>
        <w:jc w:val="both"/>
        <w:rPr>
          <w:rFonts w:ascii="Tahoma" w:hAnsi="Tahoma" w:cs="Tahoma"/>
          <w:sz w:val="20"/>
        </w:rPr>
      </w:pPr>
      <w:r w:rsidRPr="00C02E24">
        <w:rPr>
          <w:rFonts w:ascii="Tahoma" w:hAnsi="Tahoma" w:cs="Tahoma"/>
          <w:sz w:val="20"/>
        </w:rPr>
        <w:t xml:space="preserve">Benchmark. Ibovespa e </w:t>
      </w:r>
      <w:r w:rsidR="002670EA" w:rsidRPr="00C02E24">
        <w:rPr>
          <w:rFonts w:ascii="Tahoma" w:hAnsi="Tahoma" w:cs="Tahoma"/>
          <w:b/>
          <w:bCs/>
          <w:noProof/>
          <w:sz w:val="20"/>
        </w:rPr>
        <w:fldChar w:fldCharType="begin"/>
      </w:r>
      <w:r w:rsidR="002670EA" w:rsidRPr="00C02E24">
        <w:rPr>
          <w:rFonts w:ascii="Tahoma" w:hAnsi="Tahoma" w:cs="Tahoma"/>
          <w:b/>
          <w:bCs/>
          <w:noProof/>
          <w:sz w:val="20"/>
        </w:rPr>
        <w:instrText xml:space="preserve"> MERGEFIELD META </w:instrText>
      </w:r>
      <w:r w:rsidR="002670EA" w:rsidRPr="00C02E24">
        <w:rPr>
          <w:rFonts w:ascii="Tahoma" w:hAnsi="Tahoma" w:cs="Tahoma"/>
          <w:b/>
          <w:bCs/>
          <w:noProof/>
          <w:sz w:val="20"/>
        </w:rPr>
        <w:fldChar w:fldCharType="separate"/>
      </w:r>
      <w:r w:rsidR="00A14265" w:rsidRPr="00BC514D">
        <w:rPr>
          <w:rFonts w:ascii="Tahoma" w:hAnsi="Tahoma" w:cs="Tahoma"/>
          <w:b/>
          <w:bCs/>
          <w:noProof/>
          <w:sz w:val="20"/>
        </w:rPr>
        <w:t>INPC + 5,47%</w:t>
      </w:r>
      <w:r w:rsidR="002670EA" w:rsidRPr="00C02E24">
        <w:rPr>
          <w:rFonts w:ascii="Tahoma" w:hAnsi="Tahoma" w:cs="Tahoma"/>
          <w:b/>
          <w:bCs/>
          <w:noProof/>
          <w:sz w:val="20"/>
        </w:rPr>
        <w:fldChar w:fldCharType="end"/>
      </w:r>
      <w:r w:rsidRPr="00C02E24">
        <w:rPr>
          <w:rFonts w:ascii="Tahoma" w:hAnsi="Tahoma" w:cs="Tahoma"/>
          <w:b/>
          <w:bCs/>
          <w:sz w:val="20"/>
        </w:rPr>
        <w:t xml:space="preserve"> a.a.</w:t>
      </w:r>
      <w:r w:rsidRPr="00C02E24">
        <w:rPr>
          <w:rFonts w:ascii="Tahoma" w:hAnsi="Tahoma" w:cs="Tahoma"/>
          <w:sz w:val="20"/>
        </w:rPr>
        <w:t>, equivalente à meta atuarial.</w:t>
      </w:r>
    </w:p>
    <w:p w14:paraId="5B1691F4" w14:textId="412591E8" w:rsidR="00465C63" w:rsidRPr="00E8601E" w:rsidRDefault="00465C63" w:rsidP="00AD12FB">
      <w:pPr>
        <w:spacing w:after="120"/>
        <w:ind w:firstLine="709"/>
        <w:jc w:val="both"/>
        <w:rPr>
          <w:rFonts w:ascii="Tahoma" w:hAnsi="Tahoma" w:cs="Tahoma"/>
          <w:sz w:val="20"/>
        </w:rPr>
      </w:pPr>
      <w:r w:rsidRPr="00C02E24">
        <w:rPr>
          <w:rFonts w:ascii="Tahoma" w:hAnsi="Tahoma" w:cs="Tahoma"/>
          <w:sz w:val="20"/>
        </w:rPr>
        <w:t xml:space="preserve">Ativos Elegíveis.  Serão considerados ativos elegíveis para o segmento de renda variável os títulos e valores mobiliários permitidos pela legislação vigente aplicável aos RPPS. Deverão ser observados os limites e categorias de fundos do segmento de renda variável definidos na Resolução CMN </w:t>
      </w:r>
      <w:r w:rsidR="007A0B11" w:rsidRPr="00C02E24">
        <w:rPr>
          <w:rFonts w:ascii="Tahoma" w:hAnsi="Tahoma" w:cs="Tahoma"/>
          <w:sz w:val="20"/>
        </w:rPr>
        <w:t xml:space="preserve">nº </w:t>
      </w:r>
      <w:r w:rsidR="00CB03D4" w:rsidRPr="00C02E24">
        <w:rPr>
          <w:rFonts w:ascii="Tahoma" w:hAnsi="Tahoma" w:cs="Tahoma"/>
          <w:sz w:val="20"/>
        </w:rPr>
        <w:t>4.963/2021</w:t>
      </w:r>
      <w:r w:rsidRPr="00C02E24">
        <w:rPr>
          <w:rFonts w:ascii="Tahoma" w:hAnsi="Tahoma" w:cs="Tahoma"/>
          <w:sz w:val="20"/>
        </w:rPr>
        <w:t xml:space="preserve"> e nesta política anual de investimentos, observando o limite máximo legal de 30% do total dos recursos.</w:t>
      </w:r>
    </w:p>
    <w:p w14:paraId="0BEA2BA4" w14:textId="77777777" w:rsidR="00465C63" w:rsidRDefault="00465C63" w:rsidP="00AD12FB">
      <w:pPr>
        <w:spacing w:after="120" w:line="240" w:lineRule="auto"/>
        <w:ind w:firstLine="709"/>
        <w:jc w:val="both"/>
        <w:rPr>
          <w:rFonts w:ascii="Tahoma" w:hAnsi="Tahoma" w:cs="Tahoma"/>
          <w:i/>
          <w:sz w:val="20"/>
        </w:rPr>
      </w:pPr>
    </w:p>
    <w:p w14:paraId="3198D891" w14:textId="77777777" w:rsidR="00465C63" w:rsidRPr="00E8601E" w:rsidRDefault="00465C63" w:rsidP="00AD12FB">
      <w:pPr>
        <w:spacing w:after="120"/>
        <w:ind w:firstLine="709"/>
        <w:jc w:val="both"/>
        <w:rPr>
          <w:rFonts w:ascii="Tahoma" w:hAnsi="Tahoma" w:cs="Tahoma"/>
          <w:i/>
          <w:sz w:val="20"/>
        </w:rPr>
      </w:pPr>
      <w:r w:rsidRPr="00E8601E">
        <w:rPr>
          <w:rFonts w:ascii="Tahoma" w:hAnsi="Tahoma" w:cs="Tahoma"/>
          <w:i/>
          <w:sz w:val="20"/>
        </w:rPr>
        <w:t xml:space="preserve">Segmento de </w:t>
      </w:r>
      <w:r>
        <w:rPr>
          <w:rFonts w:ascii="Tahoma" w:hAnsi="Tahoma" w:cs="Tahoma"/>
          <w:i/>
          <w:sz w:val="20"/>
        </w:rPr>
        <w:t>Investimento no Exterior</w:t>
      </w:r>
    </w:p>
    <w:p w14:paraId="4FB91009" w14:textId="15CEC3D7" w:rsidR="00465C63" w:rsidRPr="00C02E24" w:rsidRDefault="00465C63" w:rsidP="00AD12FB">
      <w:pPr>
        <w:spacing w:after="120"/>
        <w:ind w:firstLine="709"/>
        <w:jc w:val="both"/>
        <w:rPr>
          <w:rFonts w:ascii="Tahoma" w:hAnsi="Tahoma" w:cs="Tahoma"/>
          <w:sz w:val="20"/>
        </w:rPr>
      </w:pPr>
      <w:r>
        <w:rPr>
          <w:rFonts w:ascii="Tahoma" w:hAnsi="Tahoma" w:cs="Tahoma"/>
          <w:sz w:val="20"/>
        </w:rPr>
        <w:t xml:space="preserve">As </w:t>
      </w:r>
      <w:r w:rsidRPr="00C02E24">
        <w:rPr>
          <w:rFonts w:ascii="Tahoma" w:hAnsi="Tahoma" w:cs="Tahoma"/>
          <w:sz w:val="20"/>
        </w:rPr>
        <w:t>aplicações dos recursos do</w:t>
      </w:r>
      <w:r w:rsidR="00F11F85" w:rsidRPr="00C02E24">
        <w:rPr>
          <w:rFonts w:ascii="Tahoma" w:hAnsi="Tahoma" w:cs="Tahoma"/>
          <w:sz w:val="20"/>
        </w:rPr>
        <w:t xml:space="preserve"> RPPS do</w:t>
      </w:r>
      <w:r w:rsidRPr="00C02E24">
        <w:rPr>
          <w:rFonts w:ascii="Tahoma" w:hAnsi="Tahoma" w:cs="Tahoma"/>
          <w:sz w:val="20"/>
        </w:rPr>
        <w:t xml:space="preserve"> </w:t>
      </w:r>
      <w:r w:rsidR="002670EA" w:rsidRPr="00C02E24">
        <w:rPr>
          <w:rFonts w:ascii="Tahoma" w:hAnsi="Tahoma" w:cs="Tahoma"/>
          <w:b/>
          <w:noProof/>
          <w:sz w:val="20"/>
        </w:rPr>
        <w:fldChar w:fldCharType="begin"/>
      </w:r>
      <w:r w:rsidR="002670EA" w:rsidRPr="00C02E24">
        <w:rPr>
          <w:rFonts w:ascii="Tahoma" w:hAnsi="Tahoma" w:cs="Tahoma"/>
          <w:b/>
          <w:noProof/>
          <w:sz w:val="20"/>
        </w:rPr>
        <w:instrText xml:space="preserve"> MERGEFIELD RPPS </w:instrText>
      </w:r>
      <w:r w:rsidR="002670EA" w:rsidRPr="00C02E24">
        <w:rPr>
          <w:rFonts w:ascii="Tahoma" w:hAnsi="Tahoma" w:cs="Tahoma"/>
          <w:b/>
          <w:noProof/>
          <w:sz w:val="20"/>
        </w:rPr>
        <w:fldChar w:fldCharType="separate"/>
      </w:r>
      <w:r w:rsidR="00A14265" w:rsidRPr="00BC514D">
        <w:rPr>
          <w:rFonts w:ascii="Tahoma" w:hAnsi="Tahoma" w:cs="Tahoma"/>
          <w:b/>
          <w:noProof/>
          <w:sz w:val="20"/>
        </w:rPr>
        <w:t>MUNICÍPIO DE TRIUNFO</w:t>
      </w:r>
      <w:r w:rsidR="002670EA" w:rsidRPr="00C02E24">
        <w:rPr>
          <w:rFonts w:ascii="Tahoma" w:hAnsi="Tahoma" w:cs="Tahoma"/>
          <w:b/>
          <w:noProof/>
          <w:sz w:val="20"/>
        </w:rPr>
        <w:fldChar w:fldCharType="end"/>
      </w:r>
      <w:r w:rsidRPr="00C02E24">
        <w:rPr>
          <w:rFonts w:ascii="Tahoma" w:hAnsi="Tahoma" w:cs="Tahoma"/>
          <w:sz w:val="20"/>
        </w:rPr>
        <w:t xml:space="preserve"> subordinam-se ao limite de até 10%.</w:t>
      </w:r>
    </w:p>
    <w:p w14:paraId="09A90F8D" w14:textId="02899171" w:rsidR="00465C63" w:rsidRPr="00C02E24" w:rsidRDefault="00465C63" w:rsidP="00AD12FB">
      <w:pPr>
        <w:spacing w:after="120"/>
        <w:ind w:firstLine="709"/>
        <w:jc w:val="both"/>
        <w:rPr>
          <w:rFonts w:ascii="Tahoma" w:hAnsi="Tahoma" w:cs="Tahoma"/>
          <w:sz w:val="20"/>
        </w:rPr>
      </w:pPr>
      <w:r w:rsidRPr="00C02E24">
        <w:rPr>
          <w:rFonts w:ascii="Tahoma" w:hAnsi="Tahoma" w:cs="Tahoma"/>
          <w:sz w:val="20"/>
        </w:rPr>
        <w:t xml:space="preserve">Ativos Elegíveis. Serão considerados elegíveis para o segmento de investimento no exterior os investimentos classificados como “Renda Fixa – </w:t>
      </w:r>
      <w:r w:rsidR="00C02E24">
        <w:rPr>
          <w:rFonts w:ascii="Tahoma" w:hAnsi="Tahoma" w:cs="Tahoma"/>
          <w:sz w:val="20"/>
        </w:rPr>
        <w:t>“</w:t>
      </w:r>
      <w:r w:rsidRPr="00C02E24">
        <w:rPr>
          <w:rFonts w:ascii="Tahoma" w:hAnsi="Tahoma" w:cs="Tahoma"/>
          <w:sz w:val="20"/>
        </w:rPr>
        <w:t>Dívida Externa</w:t>
      </w:r>
      <w:r w:rsidR="007A0B11" w:rsidRPr="00C02E24">
        <w:rPr>
          <w:rFonts w:ascii="Tahoma" w:hAnsi="Tahoma" w:cs="Tahoma"/>
          <w:sz w:val="20"/>
        </w:rPr>
        <w:t>”</w:t>
      </w:r>
      <w:r w:rsidRPr="00C02E24">
        <w:rPr>
          <w:rFonts w:ascii="Tahoma" w:hAnsi="Tahoma" w:cs="Tahoma"/>
          <w:sz w:val="20"/>
        </w:rPr>
        <w:t>, investimentos constituídos no Brasil sob forma de cond</w:t>
      </w:r>
      <w:r w:rsidR="00EC09AA" w:rsidRPr="00C02E24">
        <w:rPr>
          <w:rFonts w:ascii="Tahoma" w:hAnsi="Tahoma" w:cs="Tahoma"/>
          <w:sz w:val="20"/>
        </w:rPr>
        <w:t>o</w:t>
      </w:r>
      <w:r w:rsidRPr="00C02E24">
        <w:rPr>
          <w:rFonts w:ascii="Tahoma" w:hAnsi="Tahoma" w:cs="Tahoma"/>
          <w:sz w:val="20"/>
        </w:rPr>
        <w:t>mínio aberto com o sufixo “Investimento no Exterior” e cotas dos fundos da classe “Ações – BDR Nível 1”. Deverão ser observados os limites e categorias de fundos do segmento de investimento no Exterior definidos na Resolução CMN</w:t>
      </w:r>
      <w:r w:rsidR="007A0B11" w:rsidRPr="00C02E24">
        <w:rPr>
          <w:rFonts w:ascii="Tahoma" w:hAnsi="Tahoma" w:cs="Tahoma"/>
          <w:sz w:val="20"/>
        </w:rPr>
        <w:t xml:space="preserve"> nº</w:t>
      </w:r>
      <w:r w:rsidRPr="00C02E24">
        <w:rPr>
          <w:rFonts w:ascii="Tahoma" w:hAnsi="Tahoma" w:cs="Tahoma"/>
          <w:sz w:val="20"/>
        </w:rPr>
        <w:t xml:space="preserve"> </w:t>
      </w:r>
      <w:r w:rsidR="00CB03D4" w:rsidRPr="00C02E24">
        <w:rPr>
          <w:rFonts w:ascii="Tahoma" w:hAnsi="Tahoma" w:cs="Tahoma"/>
          <w:sz w:val="20"/>
        </w:rPr>
        <w:t>4.963/2021</w:t>
      </w:r>
      <w:r w:rsidRPr="00C02E24">
        <w:rPr>
          <w:rFonts w:ascii="Tahoma" w:hAnsi="Tahoma" w:cs="Tahoma"/>
          <w:sz w:val="20"/>
        </w:rPr>
        <w:t xml:space="preserve"> e nesta política anual de investimentos.</w:t>
      </w:r>
    </w:p>
    <w:p w14:paraId="35C64560" w14:textId="77777777" w:rsidR="00465C63" w:rsidRPr="00C02E24" w:rsidRDefault="00465C63" w:rsidP="00AD12FB">
      <w:pPr>
        <w:spacing w:after="120" w:line="240" w:lineRule="auto"/>
        <w:ind w:firstLine="709"/>
        <w:jc w:val="both"/>
        <w:rPr>
          <w:rFonts w:ascii="Tahoma" w:hAnsi="Tahoma" w:cs="Tahoma"/>
          <w:sz w:val="20"/>
        </w:rPr>
      </w:pPr>
    </w:p>
    <w:p w14:paraId="126053B6" w14:textId="77777777" w:rsidR="00465C63" w:rsidRPr="00C02E24" w:rsidRDefault="00465C63" w:rsidP="00AD12FB">
      <w:pPr>
        <w:spacing w:after="120"/>
        <w:ind w:firstLine="709"/>
        <w:jc w:val="both"/>
        <w:outlineLvl w:val="2"/>
        <w:rPr>
          <w:rStyle w:val="nfaseSutil"/>
          <w:sz w:val="20"/>
        </w:rPr>
      </w:pPr>
      <w:bookmarkStart w:id="37" w:name="_Toc181542583"/>
      <w:r w:rsidRPr="00C02E24">
        <w:rPr>
          <w:rStyle w:val="nfaseSutil"/>
          <w:sz w:val="20"/>
        </w:rPr>
        <w:t>Dos Limites Gerais</w:t>
      </w:r>
      <w:bookmarkEnd w:id="37"/>
    </w:p>
    <w:p w14:paraId="14782CCF" w14:textId="7FF382B1" w:rsidR="00465C63" w:rsidRPr="00C02E24" w:rsidRDefault="00465C63" w:rsidP="00AD12FB">
      <w:pPr>
        <w:spacing w:after="120"/>
        <w:ind w:firstLine="709"/>
        <w:jc w:val="both"/>
        <w:rPr>
          <w:rFonts w:ascii="Tahoma" w:hAnsi="Tahoma" w:cs="Tahoma"/>
          <w:sz w:val="20"/>
        </w:rPr>
      </w:pPr>
      <w:r w:rsidRPr="00C02E24">
        <w:rPr>
          <w:rFonts w:ascii="Tahoma" w:hAnsi="Tahoma" w:cs="Tahoma"/>
          <w:sz w:val="20"/>
        </w:rPr>
        <w:t xml:space="preserve">O percentual máximo dos recursos do RPPS por fundo de investimentos não poderá ultrapassar 20% do patrimônio </w:t>
      </w:r>
      <w:r w:rsidR="007A0B11" w:rsidRPr="00C02E24">
        <w:rPr>
          <w:rFonts w:ascii="Tahoma" w:hAnsi="Tahoma" w:cs="Tahoma"/>
          <w:sz w:val="20"/>
        </w:rPr>
        <w:t>líquido (PL)</w:t>
      </w:r>
      <w:r w:rsidRPr="00C02E24">
        <w:rPr>
          <w:rFonts w:ascii="Tahoma" w:hAnsi="Tahoma" w:cs="Tahoma"/>
          <w:sz w:val="20"/>
        </w:rPr>
        <w:t xml:space="preserve"> do RPPS, com </w:t>
      </w:r>
      <w:proofErr w:type="spellStart"/>
      <w:r w:rsidRPr="00C02E24">
        <w:rPr>
          <w:rFonts w:ascii="Tahoma" w:hAnsi="Tahoma" w:cs="Tahoma"/>
          <w:sz w:val="20"/>
        </w:rPr>
        <w:t>excessão</w:t>
      </w:r>
      <w:proofErr w:type="spellEnd"/>
      <w:r w:rsidRPr="00C02E24">
        <w:rPr>
          <w:rFonts w:ascii="Tahoma" w:hAnsi="Tahoma" w:cs="Tahoma"/>
          <w:sz w:val="20"/>
        </w:rPr>
        <w:t xml:space="preserve"> dos Art. 7º, inciso I</w:t>
      </w:r>
      <w:r w:rsidR="0095090B" w:rsidRPr="00C02E24">
        <w:rPr>
          <w:rFonts w:ascii="Tahoma" w:hAnsi="Tahoma" w:cs="Tahoma"/>
          <w:sz w:val="20"/>
        </w:rPr>
        <w:t>, “a” e “b”</w:t>
      </w:r>
      <w:r w:rsidRPr="00C02E24">
        <w:rPr>
          <w:rFonts w:ascii="Tahoma" w:hAnsi="Tahoma" w:cs="Tahoma"/>
          <w:sz w:val="20"/>
        </w:rPr>
        <w:t xml:space="preserve"> que poderá ser alocado 100% do PL do RPPS.</w:t>
      </w:r>
    </w:p>
    <w:p w14:paraId="615BC3CF" w14:textId="3BE9CC44" w:rsidR="00465C63" w:rsidRDefault="00465C63" w:rsidP="00AD12FB">
      <w:pPr>
        <w:spacing w:after="120"/>
        <w:ind w:firstLine="709"/>
        <w:jc w:val="both"/>
        <w:rPr>
          <w:rFonts w:ascii="Tahoma" w:hAnsi="Tahoma" w:cs="Tahoma"/>
          <w:sz w:val="20"/>
        </w:rPr>
      </w:pPr>
      <w:r w:rsidRPr="00C02E24">
        <w:rPr>
          <w:rFonts w:ascii="Tahoma" w:hAnsi="Tahoma" w:cs="Tahoma"/>
          <w:sz w:val="20"/>
        </w:rPr>
        <w:t xml:space="preserve">Para os incisos: </w:t>
      </w:r>
      <w:r w:rsidR="0095090B" w:rsidRPr="00C02E24">
        <w:rPr>
          <w:rFonts w:ascii="Tahoma" w:hAnsi="Tahoma" w:cs="Tahoma"/>
          <w:sz w:val="20"/>
        </w:rPr>
        <w:t xml:space="preserve">I - “c” e </w:t>
      </w:r>
      <w:r w:rsidRPr="00C02E24">
        <w:rPr>
          <w:rFonts w:ascii="Tahoma" w:hAnsi="Tahoma" w:cs="Tahoma"/>
          <w:sz w:val="20"/>
        </w:rPr>
        <w:t>III do Artigo 7º, inciso I do art. 8º</w:t>
      </w:r>
      <w:r w:rsidR="0095090B" w:rsidRPr="00C02E24">
        <w:rPr>
          <w:rFonts w:ascii="Tahoma" w:hAnsi="Tahoma" w:cs="Tahoma"/>
          <w:sz w:val="20"/>
        </w:rPr>
        <w:t>,</w:t>
      </w:r>
      <w:r w:rsidRPr="00C02E24">
        <w:rPr>
          <w:rFonts w:ascii="Tahoma" w:hAnsi="Tahoma" w:cs="Tahoma"/>
          <w:sz w:val="20"/>
        </w:rPr>
        <w:t xml:space="preserve"> art. 9º</w:t>
      </w:r>
      <w:r w:rsidR="007A0B11" w:rsidRPr="00C02E24">
        <w:rPr>
          <w:rFonts w:ascii="Tahoma" w:hAnsi="Tahoma" w:cs="Tahoma"/>
          <w:sz w:val="20"/>
        </w:rPr>
        <w:t>,</w:t>
      </w:r>
      <w:r w:rsidR="0095090B" w:rsidRPr="00C02E24">
        <w:rPr>
          <w:rFonts w:ascii="Tahoma" w:hAnsi="Tahoma" w:cs="Tahoma"/>
          <w:sz w:val="20"/>
        </w:rPr>
        <w:t xml:space="preserve"> art. 10º e art. 11º</w:t>
      </w:r>
      <w:r w:rsidRPr="00C02E24">
        <w:rPr>
          <w:rFonts w:ascii="Tahoma" w:hAnsi="Tahoma" w:cs="Tahoma"/>
          <w:sz w:val="20"/>
        </w:rPr>
        <w:t xml:space="preserve"> as aplicações em percentual máximo por PL do fundo de investimento não poderá ultrapassar 15%. No art. 7º, inciso V esse percentual não pode</w:t>
      </w:r>
      <w:r>
        <w:rPr>
          <w:rFonts w:ascii="Tahoma" w:hAnsi="Tahoma" w:cs="Tahoma"/>
          <w:sz w:val="20"/>
        </w:rPr>
        <w:t xml:space="preserve"> ultrapassar 5% do patrimônio do fundo de investimento. </w:t>
      </w:r>
    </w:p>
    <w:p w14:paraId="2CDBAF9F" w14:textId="765BE1EB" w:rsidR="00465C63" w:rsidRDefault="00465C63" w:rsidP="00AD12FB">
      <w:pPr>
        <w:spacing w:after="120" w:line="240" w:lineRule="auto"/>
        <w:ind w:firstLine="709"/>
        <w:jc w:val="both"/>
        <w:rPr>
          <w:rFonts w:ascii="Tahoma" w:hAnsi="Tahoma" w:cs="Tahoma"/>
          <w:sz w:val="20"/>
        </w:rPr>
      </w:pPr>
    </w:p>
    <w:p w14:paraId="02ED33F1" w14:textId="77777777" w:rsidR="00465C63" w:rsidRPr="00E8601E" w:rsidRDefault="00465C63" w:rsidP="00AD12FB">
      <w:pPr>
        <w:spacing w:after="120"/>
        <w:ind w:firstLine="709"/>
        <w:jc w:val="both"/>
        <w:outlineLvl w:val="2"/>
        <w:rPr>
          <w:rStyle w:val="nfaseSutil"/>
          <w:sz w:val="20"/>
        </w:rPr>
      </w:pPr>
      <w:bookmarkStart w:id="38" w:name="_Toc181542584"/>
      <w:r w:rsidRPr="00E8601E">
        <w:rPr>
          <w:rStyle w:val="nfaseSutil"/>
          <w:sz w:val="20"/>
        </w:rPr>
        <w:lastRenderedPageBreak/>
        <w:t>Da Avaliação de Desempenho das Aplicações</w:t>
      </w:r>
      <w:bookmarkEnd w:id="38"/>
    </w:p>
    <w:p w14:paraId="60EE5B79" w14:textId="77777777" w:rsidR="00465C63" w:rsidRPr="00E8601E" w:rsidRDefault="00465C63" w:rsidP="00AD12FB">
      <w:pPr>
        <w:spacing w:after="120"/>
        <w:ind w:firstLine="709"/>
        <w:jc w:val="both"/>
        <w:rPr>
          <w:rFonts w:ascii="Tahoma" w:hAnsi="Tahoma" w:cs="Tahoma"/>
          <w:sz w:val="20"/>
        </w:rPr>
      </w:pPr>
      <w:r w:rsidRPr="00E8601E">
        <w:rPr>
          <w:rFonts w:ascii="Tahoma" w:hAnsi="Tahoma" w:cs="Tahoma"/>
          <w:sz w:val="20"/>
        </w:rPr>
        <w:t xml:space="preserve">As aplicações serão avaliadas através da elaboração de relatórios mensais, mas acompanhadas pelo gestor diariamente. Mensalmente, elaborar-se-á o relatório de avaliação de desempenho, adotando medidas cabíveis no caso de constatação de desempenho insatisfatório, segundo os objetivos e estratégias da gestão e exposição a riscos acentuados diante de cenários de conjuntura adversa. </w:t>
      </w:r>
    </w:p>
    <w:p w14:paraId="33381045" w14:textId="7EFD3B33" w:rsidR="00465C63" w:rsidRPr="00E8601E" w:rsidRDefault="00465C63" w:rsidP="00AD12FB">
      <w:pPr>
        <w:spacing w:after="120"/>
        <w:ind w:firstLine="709"/>
        <w:jc w:val="both"/>
        <w:rPr>
          <w:rFonts w:ascii="Tahoma" w:hAnsi="Tahoma" w:cs="Tahoma"/>
          <w:sz w:val="20"/>
        </w:rPr>
      </w:pPr>
      <w:r w:rsidRPr="00E8601E">
        <w:rPr>
          <w:rFonts w:ascii="Tahoma" w:hAnsi="Tahoma" w:cs="Tahoma"/>
          <w:sz w:val="20"/>
        </w:rPr>
        <w:t xml:space="preserve">Os relatórios de desempenho compreenderão a comparação com os </w:t>
      </w:r>
      <w:r w:rsidR="007A0B11">
        <w:rPr>
          <w:rFonts w:ascii="Tahoma" w:hAnsi="Tahoma" w:cs="Tahoma"/>
          <w:sz w:val="20"/>
        </w:rPr>
        <w:t>principais</w:t>
      </w:r>
      <w:r w:rsidRPr="00E8601E">
        <w:rPr>
          <w:rFonts w:ascii="Tahoma" w:hAnsi="Tahoma" w:cs="Tahoma"/>
          <w:sz w:val="20"/>
        </w:rPr>
        <w:t xml:space="preserve"> índices de mercado, sendo eles: para a renda fixa, os Índices IMA</w:t>
      </w:r>
      <w:r w:rsidR="0020251E">
        <w:rPr>
          <w:rFonts w:ascii="Tahoma" w:hAnsi="Tahoma" w:cs="Tahoma"/>
          <w:sz w:val="20"/>
        </w:rPr>
        <w:t xml:space="preserve"> ou CDI</w:t>
      </w:r>
      <w:r w:rsidRPr="00E8601E">
        <w:rPr>
          <w:rFonts w:ascii="Tahoma" w:hAnsi="Tahoma" w:cs="Tahoma"/>
          <w:sz w:val="20"/>
        </w:rPr>
        <w:t xml:space="preserve"> e para a renda variável, o Ibovespa. A volatilidade da carteira será controlada periodicamente. Para o monitoramento do risco de mercado, utilizar-se-á o cálculo do </w:t>
      </w:r>
      <w:proofErr w:type="spellStart"/>
      <w:r w:rsidRPr="008927BD">
        <w:rPr>
          <w:rFonts w:ascii="Tahoma" w:hAnsi="Tahoma" w:cs="Tahoma"/>
          <w:i/>
          <w:iCs/>
          <w:sz w:val="20"/>
        </w:rPr>
        <w:t>Value</w:t>
      </w:r>
      <w:proofErr w:type="spellEnd"/>
      <w:r w:rsidRPr="008927BD">
        <w:rPr>
          <w:rFonts w:ascii="Tahoma" w:hAnsi="Tahoma" w:cs="Tahoma"/>
          <w:i/>
          <w:iCs/>
          <w:sz w:val="20"/>
        </w:rPr>
        <w:t xml:space="preserve"> </w:t>
      </w:r>
      <w:proofErr w:type="spellStart"/>
      <w:r w:rsidRPr="008927BD">
        <w:rPr>
          <w:rFonts w:ascii="Tahoma" w:hAnsi="Tahoma" w:cs="Tahoma"/>
          <w:i/>
          <w:iCs/>
          <w:sz w:val="20"/>
        </w:rPr>
        <w:t>at</w:t>
      </w:r>
      <w:proofErr w:type="spellEnd"/>
      <w:r w:rsidRPr="008927BD">
        <w:rPr>
          <w:rFonts w:ascii="Tahoma" w:hAnsi="Tahoma" w:cs="Tahoma"/>
          <w:i/>
          <w:iCs/>
          <w:sz w:val="20"/>
        </w:rPr>
        <w:t xml:space="preserve"> Risk</w:t>
      </w:r>
      <w:r w:rsidRPr="00E8601E">
        <w:rPr>
          <w:rFonts w:ascii="Tahoma" w:hAnsi="Tahoma" w:cs="Tahoma"/>
          <w:sz w:val="20"/>
        </w:rPr>
        <w:t xml:space="preserve"> (VAR), com um grau de confiança de 95%, que sintetiza a maior perda esperada da carteira em condições normais de mercado.</w:t>
      </w:r>
    </w:p>
    <w:p w14:paraId="08D4F359" w14:textId="5D254C32" w:rsidR="00465C63" w:rsidRPr="00E8601E" w:rsidRDefault="00465C63" w:rsidP="00AD12FB">
      <w:pPr>
        <w:spacing w:after="120"/>
        <w:ind w:firstLine="709"/>
        <w:jc w:val="both"/>
        <w:rPr>
          <w:rFonts w:ascii="Tahoma" w:hAnsi="Tahoma" w:cs="Tahoma"/>
          <w:sz w:val="20"/>
        </w:rPr>
      </w:pPr>
      <w:r w:rsidRPr="00E8601E">
        <w:rPr>
          <w:rFonts w:ascii="Tahoma" w:hAnsi="Tahoma" w:cs="Tahoma"/>
          <w:sz w:val="20"/>
        </w:rPr>
        <w:t xml:space="preserve">O RISCO DE CRÉDITO será controlado através da diversificação da carteira, da observação dos limites de crédito para as emissões privadas, pela consideração de classificação de risco das emissões ou dos emissores realizadas por agências classificadoras de risco e pelo monitoramento da exposição ao risco, através do cumprimento diário da </w:t>
      </w:r>
      <w:r w:rsidR="007A0B11">
        <w:rPr>
          <w:rFonts w:ascii="Tahoma" w:hAnsi="Tahoma" w:cs="Tahoma"/>
          <w:sz w:val="20"/>
        </w:rPr>
        <w:t>Política de Investimentos</w:t>
      </w:r>
      <w:r w:rsidRPr="00E8601E">
        <w:rPr>
          <w:rFonts w:ascii="Tahoma" w:hAnsi="Tahoma" w:cs="Tahoma"/>
          <w:sz w:val="20"/>
        </w:rPr>
        <w:t>. O RISCO DE LIQUIDEZ não é preponderante no curto prazo, porém avaliar-se-á a concentração dos investimentos e a liquidez dos ativos financeiros de acordo com as obrigações futuras.</w:t>
      </w:r>
    </w:p>
    <w:p w14:paraId="6C884D5C" w14:textId="77777777" w:rsidR="00465C63" w:rsidRPr="00E8601E" w:rsidRDefault="00465C63" w:rsidP="00AD12FB">
      <w:pPr>
        <w:spacing w:after="120" w:line="240" w:lineRule="auto"/>
        <w:ind w:firstLine="709"/>
        <w:jc w:val="both"/>
        <w:rPr>
          <w:rFonts w:ascii="Tahoma" w:hAnsi="Tahoma" w:cs="Tahoma"/>
          <w:sz w:val="20"/>
        </w:rPr>
      </w:pPr>
    </w:p>
    <w:p w14:paraId="440CACD2" w14:textId="77777777" w:rsidR="00465C63" w:rsidRPr="00E8601E" w:rsidRDefault="00465C63" w:rsidP="00AD12FB">
      <w:pPr>
        <w:spacing w:after="120"/>
        <w:ind w:firstLine="709"/>
        <w:jc w:val="both"/>
        <w:outlineLvl w:val="2"/>
        <w:rPr>
          <w:rStyle w:val="nfaseSutil"/>
          <w:sz w:val="20"/>
        </w:rPr>
      </w:pPr>
      <w:bookmarkStart w:id="39" w:name="_Toc181542585"/>
      <w:r w:rsidRPr="00E8601E">
        <w:rPr>
          <w:rStyle w:val="nfaseSutil"/>
          <w:sz w:val="20"/>
        </w:rPr>
        <w:t>Dos Riscos de Mercado e Crédito</w:t>
      </w:r>
      <w:bookmarkEnd w:id="39"/>
    </w:p>
    <w:p w14:paraId="354ECB6F" w14:textId="77777777" w:rsidR="00465C63" w:rsidRPr="00E8601E" w:rsidRDefault="00465C63" w:rsidP="00AD12FB">
      <w:pPr>
        <w:spacing w:after="120"/>
        <w:ind w:firstLine="709"/>
        <w:jc w:val="both"/>
        <w:rPr>
          <w:rFonts w:ascii="Tahoma" w:hAnsi="Tahoma" w:cs="Tahoma"/>
          <w:i/>
          <w:sz w:val="20"/>
        </w:rPr>
      </w:pPr>
      <w:r w:rsidRPr="00E8601E">
        <w:rPr>
          <w:rFonts w:ascii="Tahoma" w:hAnsi="Tahoma" w:cs="Tahoma"/>
          <w:i/>
          <w:sz w:val="20"/>
        </w:rPr>
        <w:t>Risco de Mercado</w:t>
      </w:r>
    </w:p>
    <w:p w14:paraId="2ADF1E51" w14:textId="38F4BCA4" w:rsidR="00465C63" w:rsidRPr="00344EA0" w:rsidRDefault="00465C63" w:rsidP="00AD12FB">
      <w:pPr>
        <w:spacing w:after="120"/>
        <w:ind w:firstLine="709"/>
        <w:jc w:val="both"/>
        <w:rPr>
          <w:rFonts w:ascii="Tahoma" w:hAnsi="Tahoma" w:cs="Tahoma"/>
          <w:sz w:val="20"/>
        </w:rPr>
      </w:pPr>
      <w:r w:rsidRPr="00344EA0">
        <w:rPr>
          <w:rFonts w:ascii="Tahoma" w:hAnsi="Tahoma" w:cs="Tahoma"/>
          <w:sz w:val="20"/>
        </w:rPr>
        <w:t xml:space="preserve">O </w:t>
      </w:r>
      <w:r w:rsidR="002670EA">
        <w:rPr>
          <w:rFonts w:ascii="Tahoma" w:hAnsi="Tahoma" w:cs="Tahoma"/>
          <w:b/>
          <w:noProof/>
          <w:sz w:val="20"/>
        </w:rPr>
        <w:fldChar w:fldCharType="begin"/>
      </w:r>
      <w:r w:rsidR="002670EA">
        <w:rPr>
          <w:rFonts w:ascii="Tahoma" w:hAnsi="Tahoma" w:cs="Tahoma"/>
          <w:b/>
          <w:noProof/>
          <w:sz w:val="20"/>
        </w:rPr>
        <w:instrText xml:space="preserve"> MERGEFIELD NOME_DO_FUNDO </w:instrText>
      </w:r>
      <w:r w:rsidR="002670EA">
        <w:rPr>
          <w:rFonts w:ascii="Tahoma" w:hAnsi="Tahoma" w:cs="Tahoma"/>
          <w:b/>
          <w:noProof/>
          <w:sz w:val="20"/>
        </w:rPr>
        <w:fldChar w:fldCharType="separate"/>
      </w:r>
      <w:r w:rsidR="00A14265" w:rsidRPr="00BC514D">
        <w:rPr>
          <w:rFonts w:ascii="Tahoma" w:hAnsi="Tahoma" w:cs="Tahoma"/>
          <w:b/>
          <w:noProof/>
          <w:sz w:val="20"/>
        </w:rPr>
        <w:t>FUNDO DE ASSISTÊNCIA E PREVIDÊNCIA DOS SERVIDORES ESTATUTÁRIOS DO MUNICÍPIO DE TRIUNFO – FAPETRI</w:t>
      </w:r>
      <w:r w:rsidR="002670EA">
        <w:rPr>
          <w:rFonts w:ascii="Tahoma" w:hAnsi="Tahoma" w:cs="Tahoma"/>
          <w:b/>
          <w:noProof/>
          <w:sz w:val="20"/>
        </w:rPr>
        <w:fldChar w:fldCharType="end"/>
      </w:r>
      <w:r w:rsidRPr="00903574">
        <w:rPr>
          <w:rFonts w:ascii="Tahoma" w:hAnsi="Tahoma" w:cs="Tahoma"/>
          <w:b/>
          <w:sz w:val="20"/>
        </w:rPr>
        <w:t xml:space="preserve"> </w:t>
      </w:r>
      <w:r w:rsidRPr="00344EA0">
        <w:rPr>
          <w:rFonts w:ascii="Tahoma" w:hAnsi="Tahoma" w:cs="Tahoma"/>
          <w:sz w:val="20"/>
        </w:rPr>
        <w:t xml:space="preserve">adotará o </w:t>
      </w:r>
      <w:proofErr w:type="spellStart"/>
      <w:r w:rsidRPr="008927BD">
        <w:rPr>
          <w:rFonts w:ascii="Tahoma" w:hAnsi="Tahoma" w:cs="Tahoma"/>
          <w:i/>
          <w:iCs/>
          <w:sz w:val="20"/>
        </w:rPr>
        <w:t>Value</w:t>
      </w:r>
      <w:proofErr w:type="spellEnd"/>
      <w:r w:rsidRPr="008927BD">
        <w:rPr>
          <w:rFonts w:ascii="Tahoma" w:hAnsi="Tahoma" w:cs="Tahoma"/>
          <w:i/>
          <w:iCs/>
          <w:sz w:val="20"/>
        </w:rPr>
        <w:t>-</w:t>
      </w:r>
      <w:proofErr w:type="spellStart"/>
      <w:r w:rsidRPr="008927BD">
        <w:rPr>
          <w:rFonts w:ascii="Tahoma" w:hAnsi="Tahoma" w:cs="Tahoma"/>
          <w:i/>
          <w:iCs/>
          <w:sz w:val="20"/>
        </w:rPr>
        <w:t>at-Risk</w:t>
      </w:r>
      <w:proofErr w:type="spellEnd"/>
      <w:r w:rsidRPr="00344EA0">
        <w:rPr>
          <w:rFonts w:ascii="Tahoma" w:hAnsi="Tahoma" w:cs="Tahoma"/>
          <w:sz w:val="20"/>
        </w:rPr>
        <w:t xml:space="preserve"> (</w:t>
      </w:r>
      <w:proofErr w:type="spellStart"/>
      <w:r w:rsidRPr="00344EA0">
        <w:rPr>
          <w:rFonts w:ascii="Tahoma" w:hAnsi="Tahoma" w:cs="Tahoma"/>
          <w:sz w:val="20"/>
        </w:rPr>
        <w:t>VaR</w:t>
      </w:r>
      <w:proofErr w:type="spellEnd"/>
      <w:r w:rsidRPr="00344EA0">
        <w:rPr>
          <w:rFonts w:ascii="Tahoma" w:hAnsi="Tahoma" w:cs="Tahoma"/>
          <w:sz w:val="20"/>
        </w:rPr>
        <w:t>) para controle do risco de mercado, utilizando os seguintes parâmetros para o cálculo do mesmo: modelo não paramétrico, intervalo de confiança de 95% e horizonte de tempo de 21 dias úteis. Segue</w:t>
      </w:r>
      <w:r w:rsidR="008927BD">
        <w:rPr>
          <w:rFonts w:ascii="Tahoma" w:hAnsi="Tahoma" w:cs="Tahoma"/>
          <w:sz w:val="20"/>
        </w:rPr>
        <w:t>m</w:t>
      </w:r>
      <w:r w:rsidRPr="00344EA0">
        <w:rPr>
          <w:rFonts w:ascii="Tahoma" w:hAnsi="Tahoma" w:cs="Tahoma"/>
          <w:sz w:val="20"/>
        </w:rPr>
        <w:t xml:space="preserve"> os limites de </w:t>
      </w:r>
      <w:proofErr w:type="spellStart"/>
      <w:r w:rsidRPr="00344EA0">
        <w:rPr>
          <w:rFonts w:ascii="Tahoma" w:hAnsi="Tahoma" w:cs="Tahoma"/>
          <w:sz w:val="20"/>
        </w:rPr>
        <w:t>VaR</w:t>
      </w:r>
      <w:proofErr w:type="spellEnd"/>
      <w:r w:rsidRPr="00344EA0">
        <w:rPr>
          <w:rFonts w:ascii="Tahoma" w:hAnsi="Tahoma" w:cs="Tahoma"/>
          <w:sz w:val="20"/>
        </w:rPr>
        <w:t xml:space="preserve"> definidos por segmento: segmento de renda fixa: </w:t>
      </w:r>
      <w:r w:rsidRPr="00D1268C">
        <w:rPr>
          <w:rFonts w:ascii="Tahoma" w:hAnsi="Tahoma" w:cs="Tahoma"/>
          <w:sz w:val="20"/>
        </w:rPr>
        <w:t>4,00%; segmento de renda variável: 20,00%.</w:t>
      </w:r>
    </w:p>
    <w:p w14:paraId="25B42A45" w14:textId="77777777" w:rsidR="00750C64" w:rsidRDefault="00750C64" w:rsidP="00AD12FB">
      <w:pPr>
        <w:spacing w:after="120"/>
        <w:ind w:firstLine="709"/>
        <w:jc w:val="both"/>
        <w:rPr>
          <w:rFonts w:ascii="Tahoma" w:hAnsi="Tahoma" w:cs="Tahoma"/>
          <w:i/>
          <w:sz w:val="20"/>
        </w:rPr>
      </w:pPr>
    </w:p>
    <w:p w14:paraId="6C38C2F1" w14:textId="151A1C16" w:rsidR="00465C63" w:rsidRPr="00344EA0" w:rsidRDefault="00465C63" w:rsidP="00AD12FB">
      <w:pPr>
        <w:spacing w:after="120"/>
        <w:ind w:firstLine="709"/>
        <w:jc w:val="both"/>
        <w:rPr>
          <w:rFonts w:ascii="Tahoma" w:hAnsi="Tahoma" w:cs="Tahoma"/>
          <w:i/>
          <w:sz w:val="20"/>
        </w:rPr>
      </w:pPr>
      <w:r w:rsidRPr="00344EA0">
        <w:rPr>
          <w:rFonts w:ascii="Tahoma" w:hAnsi="Tahoma" w:cs="Tahoma"/>
          <w:i/>
          <w:sz w:val="20"/>
        </w:rPr>
        <w:t>Risco de Crédito</w:t>
      </w:r>
    </w:p>
    <w:p w14:paraId="589B955B" w14:textId="064D6AB8" w:rsidR="00465C63" w:rsidRPr="00E8601E" w:rsidRDefault="00465C63" w:rsidP="00AD12FB">
      <w:pPr>
        <w:spacing w:after="120"/>
        <w:ind w:firstLine="709"/>
        <w:jc w:val="both"/>
        <w:rPr>
          <w:rFonts w:ascii="Tahoma" w:hAnsi="Tahoma" w:cs="Tahoma"/>
          <w:sz w:val="20"/>
        </w:rPr>
      </w:pPr>
      <w:r w:rsidRPr="00344EA0">
        <w:rPr>
          <w:rFonts w:ascii="Tahoma" w:hAnsi="Tahoma" w:cs="Tahoma"/>
          <w:sz w:val="20"/>
        </w:rPr>
        <w:t xml:space="preserve">Acerca do risco de crédito, o </w:t>
      </w:r>
      <w:r w:rsidR="002670EA">
        <w:rPr>
          <w:rFonts w:ascii="Tahoma" w:hAnsi="Tahoma" w:cs="Tahoma"/>
          <w:b/>
          <w:noProof/>
          <w:sz w:val="20"/>
        </w:rPr>
        <w:fldChar w:fldCharType="begin"/>
      </w:r>
      <w:r w:rsidR="002670EA">
        <w:rPr>
          <w:rFonts w:ascii="Tahoma" w:hAnsi="Tahoma" w:cs="Tahoma"/>
          <w:b/>
          <w:noProof/>
          <w:sz w:val="20"/>
        </w:rPr>
        <w:instrText xml:space="preserve"> MERGEFIELD NOME_DO_FUNDO </w:instrText>
      </w:r>
      <w:r w:rsidR="002670EA">
        <w:rPr>
          <w:rFonts w:ascii="Tahoma" w:hAnsi="Tahoma" w:cs="Tahoma"/>
          <w:b/>
          <w:noProof/>
          <w:sz w:val="20"/>
        </w:rPr>
        <w:fldChar w:fldCharType="separate"/>
      </w:r>
      <w:r w:rsidR="00A14265" w:rsidRPr="00BC514D">
        <w:rPr>
          <w:rFonts w:ascii="Tahoma" w:hAnsi="Tahoma" w:cs="Tahoma"/>
          <w:b/>
          <w:noProof/>
          <w:sz w:val="20"/>
        </w:rPr>
        <w:t>FUNDO DE ASSISTÊNCIA E PREVIDÊNCIA DOS SERVIDORES ESTATUTÁRIOS DO MUNICÍPIO DE TRIUNFO – FAPETRI</w:t>
      </w:r>
      <w:r w:rsidR="002670EA">
        <w:rPr>
          <w:rFonts w:ascii="Tahoma" w:hAnsi="Tahoma" w:cs="Tahoma"/>
          <w:b/>
          <w:noProof/>
          <w:sz w:val="20"/>
        </w:rPr>
        <w:fldChar w:fldCharType="end"/>
      </w:r>
      <w:r w:rsidRPr="00344EA0">
        <w:rPr>
          <w:rFonts w:ascii="Tahoma" w:hAnsi="Tahoma" w:cs="Tahoma"/>
          <w:sz w:val="20"/>
        </w:rPr>
        <w:t xml:space="preserve"> deverá considerar o parâmetro mínimo de qualidade média de dívida para aceitação de investimentos pelo </w:t>
      </w:r>
      <w:r w:rsidR="00F53C5D">
        <w:rPr>
          <w:rFonts w:ascii="Tahoma" w:hAnsi="Tahoma" w:cs="Tahoma"/>
          <w:sz w:val="20"/>
        </w:rPr>
        <w:t>Regime Próprio de Previdência Social</w:t>
      </w:r>
      <w:r w:rsidRPr="00344EA0">
        <w:rPr>
          <w:rFonts w:ascii="Tahoma" w:hAnsi="Tahoma" w:cs="Tahoma"/>
          <w:sz w:val="20"/>
        </w:rPr>
        <w:t xml:space="preserve"> do </w:t>
      </w:r>
      <w:r w:rsidR="002670EA">
        <w:rPr>
          <w:rFonts w:ascii="Tahoma" w:hAnsi="Tahoma" w:cs="Tahoma"/>
          <w:b/>
          <w:noProof/>
          <w:sz w:val="20"/>
        </w:rPr>
        <w:fldChar w:fldCharType="begin"/>
      </w:r>
      <w:r w:rsidR="002670EA">
        <w:rPr>
          <w:rFonts w:ascii="Tahoma" w:hAnsi="Tahoma" w:cs="Tahoma"/>
          <w:b/>
          <w:noProof/>
          <w:sz w:val="20"/>
        </w:rPr>
        <w:instrText xml:space="preserve"> MERGEFIELD RPPS </w:instrText>
      </w:r>
      <w:r w:rsidR="002670EA">
        <w:rPr>
          <w:rFonts w:ascii="Tahoma" w:hAnsi="Tahoma" w:cs="Tahoma"/>
          <w:b/>
          <w:noProof/>
          <w:sz w:val="20"/>
        </w:rPr>
        <w:fldChar w:fldCharType="separate"/>
      </w:r>
      <w:r w:rsidR="00A14265" w:rsidRPr="00BC514D">
        <w:rPr>
          <w:rFonts w:ascii="Tahoma" w:hAnsi="Tahoma" w:cs="Tahoma"/>
          <w:b/>
          <w:noProof/>
          <w:sz w:val="20"/>
        </w:rPr>
        <w:t>MUNICÍPIO DE TRIUNFO</w:t>
      </w:r>
      <w:r w:rsidR="002670EA">
        <w:rPr>
          <w:rFonts w:ascii="Tahoma" w:hAnsi="Tahoma" w:cs="Tahoma"/>
          <w:b/>
          <w:noProof/>
          <w:sz w:val="20"/>
        </w:rPr>
        <w:fldChar w:fldCharType="end"/>
      </w:r>
      <w:r w:rsidRPr="00344EA0">
        <w:rPr>
          <w:rFonts w:ascii="Tahoma" w:hAnsi="Tahoma" w:cs="Tahoma"/>
          <w:sz w:val="20"/>
        </w:rPr>
        <w:t xml:space="preserve"> ou parâmetros correspondentes fundamentados por documento de análise de crédito de empresa de classificação de risco reconhecida. </w:t>
      </w:r>
    </w:p>
    <w:p w14:paraId="63BD9CFF" w14:textId="77777777" w:rsidR="00465C63" w:rsidRDefault="00465C63" w:rsidP="00AD12FB">
      <w:pPr>
        <w:spacing w:after="120"/>
        <w:ind w:firstLine="709"/>
        <w:jc w:val="both"/>
        <w:outlineLvl w:val="2"/>
        <w:rPr>
          <w:rStyle w:val="nfaseSutil"/>
          <w:sz w:val="20"/>
        </w:rPr>
      </w:pPr>
    </w:p>
    <w:p w14:paraId="7C3CD3C6" w14:textId="77777777" w:rsidR="00465C63" w:rsidRPr="005719FA" w:rsidRDefault="00465C63" w:rsidP="00AD12FB">
      <w:pPr>
        <w:spacing w:after="120"/>
        <w:ind w:firstLine="709"/>
        <w:jc w:val="both"/>
        <w:outlineLvl w:val="2"/>
        <w:rPr>
          <w:rStyle w:val="nfaseSutil"/>
          <w:sz w:val="20"/>
        </w:rPr>
      </w:pPr>
      <w:bookmarkStart w:id="40" w:name="_Toc181542586"/>
      <w:r>
        <w:rPr>
          <w:rStyle w:val="nfaseSutil"/>
          <w:sz w:val="20"/>
        </w:rPr>
        <w:t xml:space="preserve">Do </w:t>
      </w:r>
      <w:r w:rsidRPr="005719FA">
        <w:rPr>
          <w:rStyle w:val="nfaseSutil"/>
          <w:sz w:val="20"/>
        </w:rPr>
        <w:t>Credenciamento</w:t>
      </w:r>
      <w:bookmarkEnd w:id="40"/>
    </w:p>
    <w:p w14:paraId="44955DC6" w14:textId="617B0089" w:rsidR="00465C63" w:rsidRPr="00E8601E" w:rsidRDefault="00465C63" w:rsidP="00AD12FB">
      <w:pPr>
        <w:spacing w:after="120"/>
        <w:ind w:firstLine="709"/>
        <w:jc w:val="both"/>
        <w:rPr>
          <w:rFonts w:ascii="Tahoma" w:hAnsi="Tahoma" w:cs="Tahoma"/>
          <w:sz w:val="20"/>
        </w:rPr>
      </w:pPr>
      <w:r w:rsidRPr="00C02E24">
        <w:rPr>
          <w:rFonts w:ascii="Tahoma" w:hAnsi="Tahoma" w:cs="Tahoma"/>
          <w:sz w:val="20"/>
        </w:rPr>
        <w:t xml:space="preserve">O </w:t>
      </w:r>
      <w:r w:rsidR="002670EA" w:rsidRPr="00C02E24">
        <w:rPr>
          <w:rFonts w:ascii="Tahoma" w:hAnsi="Tahoma" w:cs="Tahoma"/>
          <w:b/>
          <w:noProof/>
          <w:sz w:val="20"/>
        </w:rPr>
        <w:fldChar w:fldCharType="begin"/>
      </w:r>
      <w:r w:rsidR="002670EA" w:rsidRPr="00C02E24">
        <w:rPr>
          <w:rFonts w:ascii="Tahoma" w:hAnsi="Tahoma" w:cs="Tahoma"/>
          <w:b/>
          <w:noProof/>
          <w:sz w:val="20"/>
        </w:rPr>
        <w:instrText xml:space="preserve"> MERGEFIELD NOME_DO_FUNDO </w:instrText>
      </w:r>
      <w:r w:rsidR="002670EA" w:rsidRPr="00C02E24">
        <w:rPr>
          <w:rFonts w:ascii="Tahoma" w:hAnsi="Tahoma" w:cs="Tahoma"/>
          <w:b/>
          <w:noProof/>
          <w:sz w:val="20"/>
        </w:rPr>
        <w:fldChar w:fldCharType="separate"/>
      </w:r>
      <w:r w:rsidR="00A14265" w:rsidRPr="00BC514D">
        <w:rPr>
          <w:rFonts w:ascii="Tahoma" w:hAnsi="Tahoma" w:cs="Tahoma"/>
          <w:b/>
          <w:noProof/>
          <w:sz w:val="20"/>
        </w:rPr>
        <w:t>FUNDO DE ASSISTÊNCIA E PREVIDÊNCIA DOS SERVIDORES ESTATUTÁRIOS DO MUNICÍPIO DE TRIUNFO – FAPETRI</w:t>
      </w:r>
      <w:r w:rsidR="002670EA" w:rsidRPr="00C02E24">
        <w:rPr>
          <w:rFonts w:ascii="Tahoma" w:hAnsi="Tahoma" w:cs="Tahoma"/>
          <w:b/>
          <w:noProof/>
          <w:sz w:val="20"/>
        </w:rPr>
        <w:fldChar w:fldCharType="end"/>
      </w:r>
      <w:bookmarkStart w:id="41" w:name="_Hlk181376018"/>
      <w:r w:rsidRPr="00C02E24">
        <w:rPr>
          <w:rFonts w:ascii="Tahoma" w:hAnsi="Tahoma" w:cs="Tahoma"/>
          <w:b/>
          <w:sz w:val="20"/>
        </w:rPr>
        <w:t xml:space="preserve"> </w:t>
      </w:r>
      <w:r w:rsidRPr="00C02E24">
        <w:rPr>
          <w:rFonts w:ascii="Tahoma" w:hAnsi="Tahoma" w:cs="Tahoma"/>
          <w:sz w:val="20"/>
        </w:rPr>
        <w:t>no ano de 202</w:t>
      </w:r>
      <w:r w:rsidR="00946F98">
        <w:rPr>
          <w:rFonts w:ascii="Tahoma" w:hAnsi="Tahoma" w:cs="Tahoma"/>
          <w:sz w:val="20"/>
        </w:rPr>
        <w:t>4</w:t>
      </w:r>
      <w:r w:rsidRPr="00C02E24">
        <w:rPr>
          <w:rFonts w:ascii="Tahoma" w:hAnsi="Tahoma" w:cs="Tahoma"/>
          <w:sz w:val="20"/>
        </w:rPr>
        <w:t xml:space="preserve"> está adequado as medidas necessárias para colocar em prática o Termo de Análise de Credenciamento e o </w:t>
      </w:r>
      <w:r w:rsidR="00333690" w:rsidRPr="00C02E24">
        <w:rPr>
          <w:rFonts w:ascii="Tahoma" w:hAnsi="Tahoma" w:cs="Tahoma"/>
          <w:sz w:val="20"/>
        </w:rPr>
        <w:t>Termo de Declaração</w:t>
      </w:r>
      <w:r w:rsidR="007A0B11" w:rsidRPr="00C02E24">
        <w:rPr>
          <w:rFonts w:ascii="Tahoma" w:hAnsi="Tahoma" w:cs="Tahoma"/>
          <w:sz w:val="20"/>
        </w:rPr>
        <w:t>,</w:t>
      </w:r>
      <w:r w:rsidR="00333690" w:rsidRPr="00C02E24">
        <w:rPr>
          <w:rFonts w:ascii="Tahoma" w:hAnsi="Tahoma" w:cs="Tahoma"/>
          <w:sz w:val="20"/>
        </w:rPr>
        <w:t xml:space="preserve"> </w:t>
      </w:r>
      <w:r w:rsidRPr="00C02E24">
        <w:rPr>
          <w:rFonts w:ascii="Tahoma" w:hAnsi="Tahoma" w:cs="Tahoma"/>
          <w:sz w:val="20"/>
        </w:rPr>
        <w:t xml:space="preserve">que tem por finalidade credenciar instituições </w:t>
      </w:r>
      <w:r w:rsidR="00333690" w:rsidRPr="00C02E24">
        <w:rPr>
          <w:rFonts w:ascii="Tahoma" w:hAnsi="Tahoma" w:cs="Tahoma"/>
          <w:sz w:val="20"/>
        </w:rPr>
        <w:t xml:space="preserve">financeiras </w:t>
      </w:r>
      <w:r w:rsidRPr="00C02E24">
        <w:rPr>
          <w:rFonts w:ascii="Tahoma" w:hAnsi="Tahoma" w:cs="Tahoma"/>
          <w:sz w:val="20"/>
        </w:rPr>
        <w:t>e</w:t>
      </w:r>
      <w:r w:rsidR="00333690" w:rsidRPr="00C02E24">
        <w:rPr>
          <w:rFonts w:ascii="Tahoma" w:hAnsi="Tahoma" w:cs="Tahoma"/>
          <w:sz w:val="20"/>
        </w:rPr>
        <w:t>, após, os gestores do RPPS do “</w:t>
      </w:r>
      <w:r w:rsidR="00333690" w:rsidRPr="00C02E24">
        <w:rPr>
          <w:rFonts w:ascii="Tahoma" w:hAnsi="Tahoma" w:cs="Tahoma"/>
          <w:b/>
          <w:bCs/>
          <w:sz w:val="20"/>
        </w:rPr>
        <w:t>RPPS</w:t>
      </w:r>
      <w:r w:rsidR="00333690" w:rsidRPr="00C02E24">
        <w:rPr>
          <w:rFonts w:ascii="Tahoma" w:hAnsi="Tahoma" w:cs="Tahoma"/>
          <w:sz w:val="20"/>
        </w:rPr>
        <w:t>”</w:t>
      </w:r>
      <w:r w:rsidRPr="00C02E24">
        <w:rPr>
          <w:rFonts w:ascii="Tahoma" w:hAnsi="Tahoma" w:cs="Tahoma"/>
          <w:sz w:val="20"/>
        </w:rPr>
        <w:t xml:space="preserve"> </w:t>
      </w:r>
      <w:r w:rsidR="00333690" w:rsidRPr="00C02E24">
        <w:rPr>
          <w:rFonts w:ascii="Tahoma" w:hAnsi="Tahoma" w:cs="Tahoma"/>
          <w:sz w:val="20"/>
        </w:rPr>
        <w:t>pode</w:t>
      </w:r>
      <w:r w:rsidR="00C02E24" w:rsidRPr="00C02E24">
        <w:rPr>
          <w:rFonts w:ascii="Tahoma" w:hAnsi="Tahoma" w:cs="Tahoma"/>
          <w:sz w:val="20"/>
        </w:rPr>
        <w:t xml:space="preserve">rão </w:t>
      </w:r>
      <w:r w:rsidR="00333690" w:rsidRPr="00C02E24">
        <w:rPr>
          <w:rFonts w:ascii="Tahoma" w:hAnsi="Tahoma" w:cs="Tahoma"/>
          <w:sz w:val="20"/>
        </w:rPr>
        <w:t xml:space="preserve">analisar os </w:t>
      </w:r>
      <w:r w:rsidRPr="00C02E24">
        <w:rPr>
          <w:rFonts w:ascii="Tahoma" w:hAnsi="Tahoma" w:cs="Tahoma"/>
          <w:sz w:val="20"/>
        </w:rPr>
        <w:t>veículos para receber</w:t>
      </w:r>
      <w:r w:rsidR="00333690" w:rsidRPr="00C02E24">
        <w:rPr>
          <w:rFonts w:ascii="Tahoma" w:hAnsi="Tahoma" w:cs="Tahoma"/>
          <w:sz w:val="20"/>
        </w:rPr>
        <w:t>em</w:t>
      </w:r>
      <w:r w:rsidRPr="00C02E24">
        <w:rPr>
          <w:rFonts w:ascii="Tahoma" w:hAnsi="Tahoma" w:cs="Tahoma"/>
          <w:sz w:val="20"/>
        </w:rPr>
        <w:t xml:space="preserve"> as aplicações dos recursos.</w:t>
      </w:r>
    </w:p>
    <w:p w14:paraId="313B3EBC" w14:textId="54AFBCDC" w:rsidR="00465C63" w:rsidRPr="00C02E24" w:rsidRDefault="00465C63" w:rsidP="00AD12FB">
      <w:pPr>
        <w:spacing w:after="120"/>
        <w:ind w:firstLine="709"/>
        <w:jc w:val="both"/>
        <w:rPr>
          <w:rFonts w:ascii="Tahoma" w:hAnsi="Tahoma" w:cs="Tahoma"/>
          <w:sz w:val="20"/>
        </w:rPr>
      </w:pPr>
      <w:r w:rsidRPr="00E8601E">
        <w:rPr>
          <w:rFonts w:ascii="Tahoma" w:hAnsi="Tahoma" w:cs="Tahoma"/>
          <w:sz w:val="20"/>
        </w:rPr>
        <w:t xml:space="preserve">O objetivo é trazer uma maior uniformidade e racionalização do processo de credenciamento pelos gestores de RPPS, com a definição, por exemplo, de um padrão mínimo de informações a serem analisadas e diminuição dos documentos em papel que compõem o processo de análise. Essas orientações foram definidas pela </w:t>
      </w:r>
      <w:r w:rsidRPr="001330B1">
        <w:rPr>
          <w:rFonts w:ascii="Tahoma" w:hAnsi="Tahoma" w:cs="Tahoma"/>
          <w:sz w:val="20"/>
        </w:rPr>
        <w:t>Portaria MPS nº 300/2015</w:t>
      </w:r>
      <w:r w:rsidRPr="00E8601E">
        <w:rPr>
          <w:rFonts w:ascii="Tahoma" w:hAnsi="Tahoma" w:cs="Tahoma"/>
          <w:sz w:val="20"/>
        </w:rPr>
        <w:t xml:space="preserve">, que previu a obrigatoriedade de registro </w:t>
      </w:r>
      <w:r w:rsidRPr="00E8601E">
        <w:rPr>
          <w:rFonts w:ascii="Tahoma" w:hAnsi="Tahoma" w:cs="Tahoma"/>
          <w:sz w:val="20"/>
        </w:rPr>
        <w:lastRenderedPageBreak/>
        <w:t xml:space="preserve">da análise dos requisitos no “Termo de Análise de Credenciamento”, </w:t>
      </w:r>
      <w:r w:rsidR="00750C64" w:rsidRPr="00750C64">
        <w:rPr>
          <w:rFonts w:ascii="Tahoma" w:hAnsi="Tahoma" w:cs="Tahoma"/>
          <w:sz w:val="20"/>
        </w:rPr>
        <w:t>e da decisão de credenciamento no “</w:t>
      </w:r>
      <w:r w:rsidR="00333690">
        <w:rPr>
          <w:rFonts w:ascii="Tahoma" w:hAnsi="Tahoma" w:cs="Tahoma"/>
          <w:sz w:val="20"/>
        </w:rPr>
        <w:t>Termo</w:t>
      </w:r>
      <w:r w:rsidR="00750C64" w:rsidRPr="00750C64">
        <w:rPr>
          <w:rFonts w:ascii="Tahoma" w:hAnsi="Tahoma" w:cs="Tahoma"/>
          <w:sz w:val="20"/>
        </w:rPr>
        <w:t xml:space="preserve"> de </w:t>
      </w:r>
      <w:r w:rsidR="00333690">
        <w:rPr>
          <w:rFonts w:ascii="Tahoma" w:hAnsi="Tahoma" w:cs="Tahoma"/>
          <w:sz w:val="20"/>
        </w:rPr>
        <w:t>Declaração</w:t>
      </w:r>
      <w:r w:rsidR="00750C64" w:rsidRPr="00750C64">
        <w:rPr>
          <w:rFonts w:ascii="Tahoma" w:hAnsi="Tahoma" w:cs="Tahoma"/>
          <w:sz w:val="20"/>
        </w:rPr>
        <w:t xml:space="preserve">”. Ainda, </w:t>
      </w:r>
      <w:r w:rsidR="009134DA">
        <w:rPr>
          <w:rFonts w:ascii="Tahoma" w:hAnsi="Tahoma" w:cs="Tahoma"/>
          <w:sz w:val="20"/>
        </w:rPr>
        <w:t xml:space="preserve">a necessidade de credenciamento e acompanhamento foram previstas no </w:t>
      </w:r>
      <w:r w:rsidR="009134DA" w:rsidRPr="00C02E24">
        <w:rPr>
          <w:rFonts w:ascii="Tahoma" w:hAnsi="Tahoma" w:cs="Tahoma"/>
          <w:sz w:val="20"/>
        </w:rPr>
        <w:t xml:space="preserve">art. 1º da Resolução CMN </w:t>
      </w:r>
      <w:r w:rsidR="007A0B11" w:rsidRPr="00C02E24">
        <w:rPr>
          <w:rFonts w:ascii="Tahoma" w:hAnsi="Tahoma" w:cs="Tahoma"/>
          <w:sz w:val="20"/>
        </w:rPr>
        <w:t xml:space="preserve">nº </w:t>
      </w:r>
      <w:r w:rsidR="009134DA" w:rsidRPr="00C02E24">
        <w:rPr>
          <w:rFonts w:ascii="Tahoma" w:hAnsi="Tahoma" w:cs="Tahoma"/>
          <w:sz w:val="20"/>
        </w:rPr>
        <w:t>4.963/2021 e</w:t>
      </w:r>
      <w:r w:rsidR="00750C64" w:rsidRPr="00C02E24">
        <w:rPr>
          <w:rFonts w:ascii="Tahoma" w:hAnsi="Tahoma" w:cs="Tahoma"/>
          <w:sz w:val="20"/>
        </w:rPr>
        <w:t xml:space="preserve"> da Portaria M</w:t>
      </w:r>
      <w:r w:rsidR="00946F98">
        <w:rPr>
          <w:rFonts w:ascii="Tahoma" w:hAnsi="Tahoma" w:cs="Tahoma"/>
          <w:sz w:val="20"/>
        </w:rPr>
        <w:t>TP</w:t>
      </w:r>
      <w:r w:rsidR="007A0B11" w:rsidRPr="00C02E24">
        <w:rPr>
          <w:rFonts w:ascii="Tahoma" w:hAnsi="Tahoma" w:cs="Tahoma"/>
          <w:sz w:val="20"/>
        </w:rPr>
        <w:t xml:space="preserve"> nº</w:t>
      </w:r>
      <w:r w:rsidR="00750C64" w:rsidRPr="00C02E24">
        <w:rPr>
          <w:rFonts w:ascii="Tahoma" w:hAnsi="Tahoma" w:cs="Tahoma"/>
          <w:sz w:val="20"/>
        </w:rPr>
        <w:t xml:space="preserve"> </w:t>
      </w:r>
      <w:r w:rsidR="001330B1" w:rsidRPr="00C02E24">
        <w:rPr>
          <w:rFonts w:ascii="Tahoma" w:hAnsi="Tahoma" w:cs="Tahoma"/>
          <w:sz w:val="20"/>
        </w:rPr>
        <w:t>1.467/2022</w:t>
      </w:r>
      <w:r w:rsidR="00333690" w:rsidRPr="00C02E24">
        <w:rPr>
          <w:rFonts w:ascii="Tahoma" w:hAnsi="Tahoma" w:cs="Tahoma"/>
          <w:sz w:val="20"/>
        </w:rPr>
        <w:t xml:space="preserve"> (do art. 103 ao 106)</w:t>
      </w:r>
      <w:r w:rsidRPr="00C02E24">
        <w:rPr>
          <w:rFonts w:ascii="Tahoma" w:hAnsi="Tahoma" w:cs="Tahoma"/>
          <w:sz w:val="20"/>
        </w:rPr>
        <w:t>.</w:t>
      </w:r>
    </w:p>
    <w:p w14:paraId="48E288EA" w14:textId="52CB08A5" w:rsidR="00465C63" w:rsidRDefault="00465C63" w:rsidP="00AD12FB">
      <w:pPr>
        <w:spacing w:after="120"/>
        <w:ind w:firstLine="709"/>
        <w:jc w:val="both"/>
        <w:rPr>
          <w:rFonts w:ascii="Tahoma" w:hAnsi="Tahoma" w:cs="Tahoma"/>
          <w:sz w:val="20"/>
        </w:rPr>
      </w:pPr>
      <w:r w:rsidRPr="00C02E24">
        <w:rPr>
          <w:rFonts w:ascii="Tahoma" w:hAnsi="Tahoma" w:cs="Tahoma"/>
          <w:sz w:val="20"/>
        </w:rPr>
        <w:t>A medida também busca assegurar as condições de segurança, rentabilidade, solvência e liquidez de que trata a Resolução CMN</w:t>
      </w:r>
      <w:r w:rsidR="007A0B11" w:rsidRPr="00C02E24">
        <w:rPr>
          <w:rFonts w:ascii="Tahoma" w:hAnsi="Tahoma" w:cs="Tahoma"/>
          <w:sz w:val="20"/>
        </w:rPr>
        <w:t xml:space="preserve"> nº</w:t>
      </w:r>
      <w:r w:rsidRPr="00C02E24">
        <w:rPr>
          <w:rFonts w:ascii="Tahoma" w:hAnsi="Tahoma" w:cs="Tahoma"/>
          <w:sz w:val="20"/>
        </w:rPr>
        <w:t xml:space="preserve"> </w:t>
      </w:r>
      <w:r w:rsidR="009134DA" w:rsidRPr="00C02E24">
        <w:rPr>
          <w:rFonts w:ascii="Tahoma" w:hAnsi="Tahoma" w:cs="Tahoma"/>
          <w:sz w:val="20"/>
        </w:rPr>
        <w:t>4.963/2021</w:t>
      </w:r>
      <w:r w:rsidRPr="00C02E24">
        <w:rPr>
          <w:rFonts w:ascii="Tahoma" w:hAnsi="Tahoma" w:cs="Tahoma"/>
          <w:sz w:val="20"/>
        </w:rPr>
        <w:t>, conferindo transparência à análise pelo gestor de recursos do RPPS dos veículos de investimento aptos a receber as aplicações dos RPPS, por meio das informações relativas às instituições responsáveis por sua administração e gestão, considerando o histórico, experiência, estrutura e padrão ético dessas instituições e</w:t>
      </w:r>
      <w:r w:rsidRPr="00E8601E">
        <w:rPr>
          <w:rFonts w:ascii="Tahoma" w:hAnsi="Tahoma" w:cs="Tahoma"/>
          <w:sz w:val="20"/>
        </w:rPr>
        <w:t xml:space="preserve"> a rentabilidade e os riscos de cada aplicação.</w:t>
      </w:r>
    </w:p>
    <w:p w14:paraId="162D39F8" w14:textId="4928228C" w:rsidR="001330B1" w:rsidRPr="00D1268C" w:rsidRDefault="001330B1" w:rsidP="00AD12FB">
      <w:pPr>
        <w:spacing w:after="120"/>
        <w:ind w:firstLine="709"/>
        <w:jc w:val="both"/>
        <w:rPr>
          <w:rFonts w:ascii="Tahoma" w:hAnsi="Tahoma" w:cs="Tahoma"/>
          <w:sz w:val="20"/>
          <w:u w:val="single"/>
        </w:rPr>
      </w:pPr>
      <w:r w:rsidRPr="00C02E24">
        <w:rPr>
          <w:rFonts w:ascii="Tahoma" w:hAnsi="Tahoma" w:cs="Tahoma"/>
          <w:sz w:val="20"/>
          <w:u w:val="single"/>
        </w:rPr>
        <w:t>PARÂMETROS</w:t>
      </w:r>
      <w:r w:rsidR="00D1268C" w:rsidRPr="00C02E24">
        <w:rPr>
          <w:rFonts w:ascii="Tahoma" w:hAnsi="Tahoma" w:cs="Tahoma"/>
          <w:sz w:val="20"/>
          <w:u w:val="single"/>
        </w:rPr>
        <w:t xml:space="preserve"> MÍNIMOS DA</w:t>
      </w:r>
      <w:r w:rsidRPr="00C02E24">
        <w:rPr>
          <w:rFonts w:ascii="Tahoma" w:hAnsi="Tahoma" w:cs="Tahoma"/>
          <w:sz w:val="20"/>
          <w:u w:val="single"/>
        </w:rPr>
        <w:t xml:space="preserve"> PORTARIA MTP</w:t>
      </w:r>
      <w:r w:rsidR="007A0B11" w:rsidRPr="00C02E24">
        <w:rPr>
          <w:rFonts w:ascii="Tahoma" w:hAnsi="Tahoma" w:cs="Tahoma"/>
          <w:sz w:val="20"/>
          <w:u w:val="single"/>
        </w:rPr>
        <w:t xml:space="preserve"> nº</w:t>
      </w:r>
      <w:r w:rsidRPr="00C02E24">
        <w:rPr>
          <w:rFonts w:ascii="Tahoma" w:hAnsi="Tahoma" w:cs="Tahoma"/>
          <w:sz w:val="20"/>
          <w:u w:val="single"/>
        </w:rPr>
        <w:t xml:space="preserve"> 1.467/2022 PARA CREDENCIAMENTO</w:t>
      </w:r>
    </w:p>
    <w:p w14:paraId="6868E081" w14:textId="313A21ED" w:rsidR="001330B1" w:rsidRPr="00D1268C" w:rsidRDefault="001330B1" w:rsidP="00AD12FB">
      <w:pPr>
        <w:pStyle w:val="PargrafodaLista"/>
        <w:numPr>
          <w:ilvl w:val="0"/>
          <w:numId w:val="23"/>
        </w:numPr>
        <w:spacing w:after="120"/>
        <w:ind w:firstLine="709"/>
        <w:jc w:val="both"/>
        <w:rPr>
          <w:rFonts w:ascii="Tahoma" w:hAnsi="Tahoma" w:cs="Tahoma"/>
          <w:sz w:val="20"/>
        </w:rPr>
      </w:pPr>
      <w:r w:rsidRPr="00D1268C">
        <w:rPr>
          <w:rFonts w:ascii="Tahoma" w:hAnsi="Tahoma" w:cs="Tahoma"/>
          <w:sz w:val="20"/>
        </w:rPr>
        <w:t>Atos de registro ou autorização para funcionamento, expedidos pelo Banco Central e/ou Comissão de Valores Mobiliários (CVM) ou órgão competente;</w:t>
      </w:r>
    </w:p>
    <w:p w14:paraId="1A79A9AE" w14:textId="0B1CEECA" w:rsidR="001330B1" w:rsidRPr="00D1268C" w:rsidRDefault="001330B1" w:rsidP="00AD12FB">
      <w:pPr>
        <w:pStyle w:val="PargrafodaLista"/>
        <w:numPr>
          <w:ilvl w:val="0"/>
          <w:numId w:val="23"/>
        </w:numPr>
        <w:spacing w:after="120"/>
        <w:ind w:firstLine="709"/>
        <w:jc w:val="both"/>
        <w:rPr>
          <w:rFonts w:ascii="Tahoma" w:hAnsi="Tahoma" w:cs="Tahoma"/>
          <w:sz w:val="20"/>
        </w:rPr>
      </w:pPr>
      <w:r w:rsidRPr="00D1268C">
        <w:rPr>
          <w:rFonts w:ascii="Tahoma" w:hAnsi="Tahoma" w:cs="Tahoma"/>
          <w:sz w:val="20"/>
        </w:rPr>
        <w:t>Certidões que o RPPS achar pertinente solicitar;</w:t>
      </w:r>
    </w:p>
    <w:p w14:paraId="03B66E1E" w14:textId="435B4FF0" w:rsidR="001330B1" w:rsidRPr="00D1268C" w:rsidRDefault="001330B1" w:rsidP="00AD12FB">
      <w:pPr>
        <w:pStyle w:val="PargrafodaLista"/>
        <w:numPr>
          <w:ilvl w:val="0"/>
          <w:numId w:val="22"/>
        </w:numPr>
        <w:spacing w:after="120"/>
        <w:ind w:firstLine="709"/>
        <w:jc w:val="both"/>
        <w:rPr>
          <w:rFonts w:ascii="Tahoma" w:hAnsi="Tahoma" w:cs="Tahoma"/>
          <w:sz w:val="20"/>
        </w:rPr>
      </w:pPr>
      <w:r w:rsidRPr="00D1268C">
        <w:rPr>
          <w:rFonts w:ascii="Tahoma" w:hAnsi="Tahoma" w:cs="Tahoma"/>
          <w:sz w:val="20"/>
        </w:rPr>
        <w:t>A Instituição deverá ser filiada à ANBIMA – Associação Brasileira das Entidades dos Mercados Financeiros e de Capitais ou ser aderente ao Código de Regulação e Melhores Práticas para Fundos de Investimentos. No caso de conglomerado ou grupo financeiro</w:t>
      </w:r>
      <w:r w:rsidR="0099256D" w:rsidRPr="00D1268C">
        <w:rPr>
          <w:rFonts w:ascii="Tahoma" w:hAnsi="Tahoma" w:cs="Tahoma"/>
          <w:sz w:val="20"/>
        </w:rPr>
        <w:t xml:space="preserve"> </w:t>
      </w:r>
      <w:r w:rsidRPr="00D1268C">
        <w:rPr>
          <w:rFonts w:ascii="Tahoma" w:hAnsi="Tahoma" w:cs="Tahoma"/>
          <w:sz w:val="20"/>
        </w:rPr>
        <w:t>(considerando qualquer sociedade controlada, controladora ou sob controle comum), conforme determinado no artigo 5º do Código</w:t>
      </w:r>
      <w:r w:rsidR="00EC09AA">
        <w:rPr>
          <w:rFonts w:ascii="Tahoma" w:hAnsi="Tahoma" w:cs="Tahoma"/>
          <w:sz w:val="20"/>
        </w:rPr>
        <w:t xml:space="preserve"> </w:t>
      </w:r>
      <w:r w:rsidRPr="00D1268C">
        <w:rPr>
          <w:rFonts w:ascii="Tahoma" w:hAnsi="Tahoma" w:cs="Tahoma"/>
          <w:sz w:val="20"/>
        </w:rPr>
        <w:t>de Regulação e Melhores Práticas ANBIMA para os Fundos de Investimentos, a filiação e/ou adesão de uma entidade aproveita às</w:t>
      </w:r>
      <w:r w:rsidR="0099256D" w:rsidRPr="00D1268C">
        <w:rPr>
          <w:rFonts w:ascii="Tahoma" w:hAnsi="Tahoma" w:cs="Tahoma"/>
          <w:sz w:val="20"/>
        </w:rPr>
        <w:t xml:space="preserve"> </w:t>
      </w:r>
      <w:r w:rsidRPr="00D1268C">
        <w:rPr>
          <w:rFonts w:ascii="Tahoma" w:hAnsi="Tahoma" w:cs="Tahoma"/>
          <w:sz w:val="20"/>
        </w:rPr>
        <w:t>demais;</w:t>
      </w:r>
    </w:p>
    <w:p w14:paraId="08AB187E" w14:textId="4471B036" w:rsidR="001330B1" w:rsidRPr="00D1268C" w:rsidRDefault="001330B1" w:rsidP="00AD12FB">
      <w:pPr>
        <w:pStyle w:val="PargrafodaLista"/>
        <w:numPr>
          <w:ilvl w:val="0"/>
          <w:numId w:val="22"/>
        </w:numPr>
        <w:spacing w:after="120"/>
        <w:ind w:firstLine="709"/>
        <w:jc w:val="both"/>
        <w:rPr>
          <w:rFonts w:ascii="Tahoma" w:hAnsi="Tahoma" w:cs="Tahoma"/>
          <w:sz w:val="20"/>
        </w:rPr>
      </w:pPr>
      <w:r w:rsidRPr="00D1268C">
        <w:rPr>
          <w:rFonts w:ascii="Tahoma" w:hAnsi="Tahoma" w:cs="Tahoma"/>
          <w:sz w:val="20"/>
        </w:rPr>
        <w:t xml:space="preserve">Questionário Padrão </w:t>
      </w:r>
      <w:proofErr w:type="spellStart"/>
      <w:r w:rsidRPr="00D1268C">
        <w:rPr>
          <w:rFonts w:ascii="Tahoma" w:hAnsi="Tahoma" w:cs="Tahoma"/>
          <w:sz w:val="20"/>
        </w:rPr>
        <w:t>Due</w:t>
      </w:r>
      <w:proofErr w:type="spellEnd"/>
      <w:r w:rsidRPr="00D1268C">
        <w:rPr>
          <w:rFonts w:ascii="Tahoma" w:hAnsi="Tahoma" w:cs="Tahoma"/>
          <w:sz w:val="20"/>
        </w:rPr>
        <w:t xml:space="preserve"> </w:t>
      </w:r>
      <w:proofErr w:type="spellStart"/>
      <w:r w:rsidRPr="00D1268C">
        <w:rPr>
          <w:rFonts w:ascii="Tahoma" w:hAnsi="Tahoma" w:cs="Tahoma"/>
          <w:sz w:val="20"/>
        </w:rPr>
        <w:t>Diligence</w:t>
      </w:r>
      <w:proofErr w:type="spellEnd"/>
      <w:r w:rsidRPr="00D1268C">
        <w:rPr>
          <w:rFonts w:ascii="Tahoma" w:hAnsi="Tahoma" w:cs="Tahoma"/>
          <w:sz w:val="20"/>
        </w:rPr>
        <w:t xml:space="preserve"> ANBIMA Seção 1 e 3 e seus anexos;</w:t>
      </w:r>
    </w:p>
    <w:p w14:paraId="26D757F7" w14:textId="4B9AB9E2" w:rsidR="001330B1" w:rsidRPr="00D1268C" w:rsidRDefault="001330B1" w:rsidP="00AD12FB">
      <w:pPr>
        <w:pStyle w:val="PargrafodaLista"/>
        <w:numPr>
          <w:ilvl w:val="0"/>
          <w:numId w:val="22"/>
        </w:numPr>
        <w:spacing w:after="120"/>
        <w:ind w:firstLine="709"/>
        <w:jc w:val="both"/>
        <w:rPr>
          <w:rFonts w:ascii="Tahoma" w:hAnsi="Tahoma" w:cs="Tahoma"/>
          <w:sz w:val="20"/>
        </w:rPr>
      </w:pPr>
      <w:r w:rsidRPr="00D1268C">
        <w:rPr>
          <w:rFonts w:ascii="Tahoma" w:hAnsi="Tahoma" w:cs="Tahoma"/>
          <w:sz w:val="20"/>
        </w:rPr>
        <w:t>Relatórios de Ratings de Qualidade de Gestão e Ambiente de Controle;</w:t>
      </w:r>
    </w:p>
    <w:p w14:paraId="44FD9A7D" w14:textId="23EC2470" w:rsidR="001330B1" w:rsidRPr="00D1268C" w:rsidRDefault="001330B1" w:rsidP="00AD12FB">
      <w:pPr>
        <w:pStyle w:val="PargrafodaLista"/>
        <w:numPr>
          <w:ilvl w:val="0"/>
          <w:numId w:val="22"/>
        </w:numPr>
        <w:spacing w:after="120"/>
        <w:ind w:firstLine="709"/>
        <w:jc w:val="both"/>
        <w:rPr>
          <w:rFonts w:ascii="Tahoma" w:hAnsi="Tahoma" w:cs="Tahoma"/>
          <w:sz w:val="20"/>
        </w:rPr>
      </w:pPr>
      <w:r w:rsidRPr="00D1268C">
        <w:rPr>
          <w:rFonts w:ascii="Tahoma" w:hAnsi="Tahoma" w:cs="Tahoma"/>
          <w:sz w:val="20"/>
        </w:rPr>
        <w:t>Solidez Patrimonial;</w:t>
      </w:r>
    </w:p>
    <w:p w14:paraId="501C8AD8" w14:textId="550ED265" w:rsidR="001330B1" w:rsidRPr="00D1268C" w:rsidRDefault="001330B1" w:rsidP="00AD12FB">
      <w:pPr>
        <w:pStyle w:val="PargrafodaLista"/>
        <w:numPr>
          <w:ilvl w:val="0"/>
          <w:numId w:val="22"/>
        </w:numPr>
        <w:spacing w:after="120"/>
        <w:ind w:firstLine="709"/>
        <w:jc w:val="both"/>
        <w:rPr>
          <w:rFonts w:ascii="Tahoma" w:hAnsi="Tahoma" w:cs="Tahoma"/>
          <w:sz w:val="20"/>
        </w:rPr>
      </w:pPr>
      <w:r w:rsidRPr="00D1268C">
        <w:rPr>
          <w:rFonts w:ascii="Tahoma" w:hAnsi="Tahoma" w:cs="Tahoma"/>
          <w:sz w:val="20"/>
        </w:rPr>
        <w:t>Risco Reputacional;</w:t>
      </w:r>
    </w:p>
    <w:p w14:paraId="72076DB6" w14:textId="1E06F569" w:rsidR="001330B1" w:rsidRPr="00D1268C" w:rsidRDefault="001330B1" w:rsidP="00AD12FB">
      <w:pPr>
        <w:pStyle w:val="PargrafodaLista"/>
        <w:numPr>
          <w:ilvl w:val="0"/>
          <w:numId w:val="22"/>
        </w:numPr>
        <w:spacing w:after="120"/>
        <w:ind w:firstLine="709"/>
        <w:jc w:val="both"/>
        <w:rPr>
          <w:rFonts w:ascii="Tahoma" w:hAnsi="Tahoma" w:cs="Tahoma"/>
          <w:sz w:val="20"/>
        </w:rPr>
      </w:pPr>
      <w:r w:rsidRPr="00D1268C">
        <w:rPr>
          <w:rFonts w:ascii="Tahoma" w:hAnsi="Tahoma" w:cs="Tahoma"/>
          <w:sz w:val="20"/>
        </w:rPr>
        <w:t>Padrão Ético de Conduta;</w:t>
      </w:r>
    </w:p>
    <w:p w14:paraId="2208D8E1" w14:textId="55B31689" w:rsidR="001330B1" w:rsidRPr="00D1268C" w:rsidRDefault="001330B1" w:rsidP="00AD12FB">
      <w:pPr>
        <w:pStyle w:val="PargrafodaLista"/>
        <w:numPr>
          <w:ilvl w:val="0"/>
          <w:numId w:val="22"/>
        </w:numPr>
        <w:spacing w:after="120"/>
        <w:ind w:firstLine="709"/>
        <w:jc w:val="both"/>
        <w:rPr>
          <w:rFonts w:ascii="Tahoma" w:hAnsi="Tahoma" w:cs="Tahoma"/>
          <w:sz w:val="20"/>
        </w:rPr>
      </w:pPr>
      <w:r w:rsidRPr="00D1268C">
        <w:rPr>
          <w:rFonts w:ascii="Tahoma" w:hAnsi="Tahoma" w:cs="Tahoma"/>
          <w:sz w:val="20"/>
        </w:rPr>
        <w:t>Histórico e experiência de atuação;</w:t>
      </w:r>
    </w:p>
    <w:p w14:paraId="4874E9A8" w14:textId="3B3A9C3F" w:rsidR="001330B1" w:rsidRPr="00D1268C" w:rsidRDefault="001330B1" w:rsidP="00AD12FB">
      <w:pPr>
        <w:pStyle w:val="PargrafodaLista"/>
        <w:numPr>
          <w:ilvl w:val="0"/>
          <w:numId w:val="22"/>
        </w:numPr>
        <w:spacing w:after="120"/>
        <w:ind w:firstLine="709"/>
        <w:jc w:val="both"/>
        <w:rPr>
          <w:rFonts w:ascii="Tahoma" w:hAnsi="Tahoma" w:cs="Tahoma"/>
          <w:sz w:val="20"/>
        </w:rPr>
      </w:pPr>
      <w:r w:rsidRPr="00D1268C">
        <w:rPr>
          <w:rFonts w:ascii="Tahoma" w:hAnsi="Tahoma" w:cs="Tahoma"/>
          <w:sz w:val="20"/>
        </w:rPr>
        <w:t>Volume de recursos sob administração/gestão;</w:t>
      </w:r>
    </w:p>
    <w:p w14:paraId="4834BB88" w14:textId="7DFD83BB" w:rsidR="001330B1" w:rsidRPr="00D1268C" w:rsidRDefault="001330B1" w:rsidP="00AD12FB">
      <w:pPr>
        <w:pStyle w:val="PargrafodaLista"/>
        <w:numPr>
          <w:ilvl w:val="0"/>
          <w:numId w:val="22"/>
        </w:numPr>
        <w:spacing w:after="120"/>
        <w:ind w:firstLine="709"/>
        <w:jc w:val="both"/>
        <w:rPr>
          <w:rFonts w:ascii="Tahoma" w:hAnsi="Tahoma" w:cs="Tahoma"/>
          <w:sz w:val="20"/>
        </w:rPr>
      </w:pPr>
      <w:r w:rsidRPr="00D1268C">
        <w:rPr>
          <w:rFonts w:ascii="Tahoma" w:hAnsi="Tahoma" w:cs="Tahoma"/>
          <w:sz w:val="20"/>
        </w:rPr>
        <w:t>Avaliação da rentabilidade dos fundos sob sua administração/gestão;</w:t>
      </w:r>
    </w:p>
    <w:p w14:paraId="33954956" w14:textId="68C9452E" w:rsidR="001330B1" w:rsidRPr="00C02E24" w:rsidRDefault="001330B1" w:rsidP="00AD12FB">
      <w:pPr>
        <w:pStyle w:val="PargrafodaLista"/>
        <w:numPr>
          <w:ilvl w:val="0"/>
          <w:numId w:val="22"/>
        </w:numPr>
        <w:spacing w:after="120"/>
        <w:ind w:firstLine="709"/>
        <w:jc w:val="both"/>
        <w:rPr>
          <w:rFonts w:ascii="Tahoma" w:hAnsi="Tahoma" w:cs="Tahoma"/>
          <w:sz w:val="20"/>
        </w:rPr>
      </w:pPr>
      <w:r w:rsidRPr="00C02E24">
        <w:rPr>
          <w:rFonts w:ascii="Tahoma" w:hAnsi="Tahoma" w:cs="Tahoma"/>
          <w:sz w:val="20"/>
        </w:rPr>
        <w:t>Penalidades: Pesquisa CVM, BACEN e mercado;</w:t>
      </w:r>
    </w:p>
    <w:p w14:paraId="012B2CE1" w14:textId="77777777" w:rsidR="001330B1" w:rsidRPr="00C02E24" w:rsidRDefault="001330B1" w:rsidP="00AD12FB">
      <w:pPr>
        <w:spacing w:after="120"/>
        <w:ind w:firstLine="709"/>
        <w:jc w:val="both"/>
        <w:rPr>
          <w:rFonts w:ascii="Tahoma" w:hAnsi="Tahoma" w:cs="Tahoma"/>
          <w:sz w:val="20"/>
        </w:rPr>
      </w:pPr>
    </w:p>
    <w:p w14:paraId="383CEA59" w14:textId="28D8AEBE" w:rsidR="001330B1" w:rsidRDefault="001330B1" w:rsidP="00AD12FB">
      <w:pPr>
        <w:spacing w:after="120"/>
        <w:ind w:firstLine="709"/>
        <w:jc w:val="both"/>
        <w:rPr>
          <w:rFonts w:ascii="Tahoma" w:hAnsi="Tahoma" w:cs="Tahoma"/>
          <w:sz w:val="20"/>
        </w:rPr>
      </w:pPr>
      <w:r w:rsidRPr="00C02E24">
        <w:rPr>
          <w:rFonts w:ascii="Tahoma" w:hAnsi="Tahoma" w:cs="Tahoma"/>
          <w:sz w:val="20"/>
        </w:rPr>
        <w:t xml:space="preserve">Portanto, </w:t>
      </w:r>
      <w:r w:rsidR="007A0B11" w:rsidRPr="00C02E24">
        <w:rPr>
          <w:rFonts w:ascii="Tahoma" w:hAnsi="Tahoma" w:cs="Tahoma"/>
          <w:sz w:val="20"/>
        </w:rPr>
        <w:t xml:space="preserve">para </w:t>
      </w:r>
      <w:r w:rsidRPr="00C02E24">
        <w:rPr>
          <w:rFonts w:ascii="Tahoma" w:hAnsi="Tahoma" w:cs="Tahoma"/>
          <w:sz w:val="20"/>
        </w:rPr>
        <w:t>eventuais novos credenciamentos ao longo de 202</w:t>
      </w:r>
      <w:r w:rsidR="00E16EDA" w:rsidRPr="00C02E24">
        <w:rPr>
          <w:rFonts w:ascii="Tahoma" w:hAnsi="Tahoma" w:cs="Tahoma"/>
          <w:sz w:val="20"/>
        </w:rPr>
        <w:t>5</w:t>
      </w:r>
      <w:r w:rsidRPr="00C02E24">
        <w:rPr>
          <w:rFonts w:ascii="Tahoma" w:hAnsi="Tahoma" w:cs="Tahoma"/>
          <w:sz w:val="20"/>
        </w:rPr>
        <w:t xml:space="preserve"> o RPPS seguirá os parâmetros gerais dos </w:t>
      </w:r>
      <w:proofErr w:type="spellStart"/>
      <w:r w:rsidRPr="00C02E24">
        <w:rPr>
          <w:rFonts w:ascii="Tahoma" w:hAnsi="Tahoma" w:cs="Tahoma"/>
          <w:sz w:val="20"/>
        </w:rPr>
        <w:t>art</w:t>
      </w:r>
      <w:r w:rsidR="00EC09AA" w:rsidRPr="00C02E24">
        <w:rPr>
          <w:rFonts w:ascii="Tahoma" w:hAnsi="Tahoma" w:cs="Tahoma"/>
          <w:sz w:val="20"/>
        </w:rPr>
        <w:t>s</w:t>
      </w:r>
      <w:proofErr w:type="spellEnd"/>
      <w:r w:rsidRPr="00C02E24">
        <w:rPr>
          <w:rFonts w:ascii="Tahoma" w:hAnsi="Tahoma" w:cs="Tahoma"/>
          <w:sz w:val="20"/>
        </w:rPr>
        <w:t xml:space="preserve"> 103,</w:t>
      </w:r>
      <w:r w:rsidR="005D3A43">
        <w:rPr>
          <w:rFonts w:ascii="Tahoma" w:hAnsi="Tahoma" w:cs="Tahoma"/>
          <w:sz w:val="20"/>
        </w:rPr>
        <w:t xml:space="preserve"> </w:t>
      </w:r>
      <w:r w:rsidRPr="00C02E24">
        <w:rPr>
          <w:rFonts w:ascii="Tahoma" w:hAnsi="Tahoma" w:cs="Tahoma"/>
          <w:sz w:val="20"/>
        </w:rPr>
        <w:t>104,</w:t>
      </w:r>
      <w:r w:rsidR="005D3A43">
        <w:rPr>
          <w:rFonts w:ascii="Tahoma" w:hAnsi="Tahoma" w:cs="Tahoma"/>
          <w:sz w:val="20"/>
        </w:rPr>
        <w:t xml:space="preserve"> </w:t>
      </w:r>
      <w:r w:rsidRPr="00C02E24">
        <w:rPr>
          <w:rFonts w:ascii="Tahoma" w:hAnsi="Tahoma" w:cs="Tahoma"/>
          <w:sz w:val="20"/>
        </w:rPr>
        <w:t>105 da Portaria MTP</w:t>
      </w:r>
      <w:r w:rsidR="007A0B11" w:rsidRPr="00C02E24">
        <w:rPr>
          <w:rFonts w:ascii="Tahoma" w:hAnsi="Tahoma" w:cs="Tahoma"/>
          <w:sz w:val="20"/>
        </w:rPr>
        <w:t xml:space="preserve"> nº</w:t>
      </w:r>
      <w:r w:rsidRPr="00C02E24">
        <w:rPr>
          <w:rFonts w:ascii="Tahoma" w:hAnsi="Tahoma" w:cs="Tahoma"/>
          <w:sz w:val="20"/>
        </w:rPr>
        <w:t xml:space="preserve"> </w:t>
      </w:r>
      <w:r w:rsidR="007F6D14" w:rsidRPr="00C02E24">
        <w:rPr>
          <w:rFonts w:ascii="Tahoma" w:hAnsi="Tahoma" w:cs="Tahoma"/>
          <w:sz w:val="20"/>
        </w:rPr>
        <w:t>1.467</w:t>
      </w:r>
      <w:r w:rsidRPr="00C02E24">
        <w:rPr>
          <w:rFonts w:ascii="Tahoma" w:hAnsi="Tahoma" w:cs="Tahoma"/>
          <w:sz w:val="20"/>
        </w:rPr>
        <w:t>/2022.</w:t>
      </w:r>
    </w:p>
    <w:bookmarkEnd w:id="41"/>
    <w:p w14:paraId="0BC5A53F" w14:textId="77777777" w:rsidR="001330B1" w:rsidRPr="00E8601E" w:rsidRDefault="001330B1" w:rsidP="00AD12FB">
      <w:pPr>
        <w:spacing w:after="120"/>
        <w:ind w:firstLine="709"/>
        <w:jc w:val="both"/>
        <w:rPr>
          <w:rFonts w:ascii="Tahoma" w:hAnsi="Tahoma" w:cs="Tahoma"/>
          <w:sz w:val="20"/>
        </w:rPr>
      </w:pPr>
    </w:p>
    <w:p w14:paraId="0873A20F" w14:textId="77777777" w:rsidR="00465C63" w:rsidRPr="00C02E24" w:rsidRDefault="00465C63" w:rsidP="00AD12FB">
      <w:pPr>
        <w:spacing w:after="120"/>
        <w:ind w:firstLine="709"/>
        <w:jc w:val="both"/>
        <w:outlineLvl w:val="2"/>
        <w:rPr>
          <w:rStyle w:val="nfaseSutil"/>
          <w:sz w:val="20"/>
        </w:rPr>
      </w:pPr>
      <w:bookmarkStart w:id="42" w:name="_Toc181542587"/>
      <w:r>
        <w:rPr>
          <w:rStyle w:val="nfaseSutil"/>
          <w:sz w:val="20"/>
        </w:rPr>
        <w:t xml:space="preserve">Da </w:t>
      </w:r>
      <w:r w:rsidRPr="00C02E24">
        <w:rPr>
          <w:rStyle w:val="nfaseSutil"/>
          <w:sz w:val="20"/>
        </w:rPr>
        <w:t>Seleção e Precificação de ativos</w:t>
      </w:r>
      <w:bookmarkEnd w:id="42"/>
    </w:p>
    <w:p w14:paraId="571CD790" w14:textId="30A860E7" w:rsidR="00465C63" w:rsidRPr="00C02E24" w:rsidRDefault="00465C63" w:rsidP="00AD12FB">
      <w:pPr>
        <w:spacing w:after="120"/>
        <w:ind w:firstLine="709"/>
        <w:jc w:val="both"/>
        <w:rPr>
          <w:rFonts w:ascii="Tahoma" w:hAnsi="Tahoma" w:cs="Tahoma"/>
          <w:sz w:val="20"/>
        </w:rPr>
      </w:pPr>
      <w:r w:rsidRPr="00C02E24">
        <w:rPr>
          <w:rFonts w:ascii="Tahoma" w:hAnsi="Tahoma" w:cs="Tahoma"/>
          <w:sz w:val="20"/>
        </w:rPr>
        <w:t xml:space="preserve">A seleção dos produtos para avaliação </w:t>
      </w:r>
      <w:r w:rsidR="00EC09AA" w:rsidRPr="00C02E24">
        <w:rPr>
          <w:rFonts w:ascii="Tahoma" w:hAnsi="Tahoma" w:cs="Tahoma"/>
          <w:sz w:val="20"/>
        </w:rPr>
        <w:t>é</w:t>
      </w:r>
      <w:r w:rsidR="000976BC" w:rsidRPr="00C02E24">
        <w:rPr>
          <w:rFonts w:ascii="Tahoma" w:hAnsi="Tahoma" w:cs="Tahoma"/>
          <w:sz w:val="20"/>
        </w:rPr>
        <w:t xml:space="preserve"> de competência do </w:t>
      </w:r>
      <w:r w:rsidR="000976BC" w:rsidRPr="00C02E24">
        <w:rPr>
          <w:rFonts w:ascii="Tahoma" w:hAnsi="Tahoma" w:cs="Tahoma"/>
          <w:b/>
          <w:bCs/>
          <w:sz w:val="20"/>
        </w:rPr>
        <w:fldChar w:fldCharType="begin"/>
      </w:r>
      <w:r w:rsidR="000976BC" w:rsidRPr="00C02E24">
        <w:rPr>
          <w:rFonts w:ascii="Tahoma" w:hAnsi="Tahoma" w:cs="Tahoma"/>
          <w:b/>
          <w:bCs/>
          <w:sz w:val="20"/>
        </w:rPr>
        <w:instrText xml:space="preserve"> MERGEFIELD COMITÊ </w:instrText>
      </w:r>
      <w:r w:rsidR="000976BC" w:rsidRPr="00C02E24">
        <w:rPr>
          <w:rFonts w:ascii="Tahoma" w:hAnsi="Tahoma" w:cs="Tahoma"/>
          <w:b/>
          <w:bCs/>
          <w:sz w:val="20"/>
        </w:rPr>
        <w:fldChar w:fldCharType="separate"/>
      </w:r>
      <w:r w:rsidR="00A14265" w:rsidRPr="00BC514D">
        <w:rPr>
          <w:rFonts w:ascii="Tahoma" w:hAnsi="Tahoma" w:cs="Tahoma"/>
          <w:b/>
          <w:bCs/>
          <w:noProof/>
          <w:sz w:val="20"/>
        </w:rPr>
        <w:t>COMITÊ DE INVESTIMENTOS</w:t>
      </w:r>
      <w:r w:rsidR="000976BC" w:rsidRPr="00C02E24">
        <w:rPr>
          <w:rFonts w:ascii="Tahoma" w:hAnsi="Tahoma" w:cs="Tahoma"/>
          <w:b/>
          <w:bCs/>
          <w:sz w:val="20"/>
        </w:rPr>
        <w:fldChar w:fldCharType="end"/>
      </w:r>
      <w:r w:rsidR="000976BC" w:rsidRPr="00C02E24">
        <w:rPr>
          <w:rFonts w:ascii="Tahoma" w:hAnsi="Tahoma" w:cs="Tahoma"/>
          <w:b/>
          <w:bCs/>
          <w:sz w:val="20"/>
        </w:rPr>
        <w:t xml:space="preserve"> </w:t>
      </w:r>
      <w:r w:rsidR="000976BC" w:rsidRPr="00C02E24">
        <w:rPr>
          <w:rFonts w:ascii="Tahoma" w:hAnsi="Tahoma" w:cs="Tahoma"/>
          <w:sz w:val="20"/>
        </w:rPr>
        <w:t xml:space="preserve">e deve respeitar essa </w:t>
      </w:r>
      <w:r w:rsidR="007A0B11" w:rsidRPr="00C02E24">
        <w:rPr>
          <w:rFonts w:ascii="Tahoma" w:hAnsi="Tahoma" w:cs="Tahoma"/>
          <w:sz w:val="20"/>
        </w:rPr>
        <w:t>Política de Investimentos</w:t>
      </w:r>
      <w:r w:rsidRPr="00C02E24">
        <w:rPr>
          <w:rFonts w:ascii="Tahoma" w:hAnsi="Tahoma" w:cs="Tahoma"/>
          <w:sz w:val="20"/>
        </w:rPr>
        <w:t xml:space="preserve">. Para tanto, deverá ser elaborado relatório técnico, contemplando as exigências </w:t>
      </w:r>
      <w:r w:rsidR="007A0B11" w:rsidRPr="00C02E24">
        <w:rPr>
          <w:rFonts w:ascii="Tahoma" w:hAnsi="Tahoma" w:cs="Tahoma"/>
          <w:sz w:val="20"/>
        </w:rPr>
        <w:t>principais</w:t>
      </w:r>
      <w:r w:rsidRPr="00C02E24">
        <w:rPr>
          <w:rFonts w:ascii="Tahoma" w:hAnsi="Tahoma" w:cs="Tahoma"/>
          <w:sz w:val="20"/>
        </w:rPr>
        <w:t xml:space="preserve"> </w:t>
      </w:r>
      <w:r w:rsidR="00E03567" w:rsidRPr="00C02E24">
        <w:rPr>
          <w:rFonts w:ascii="Tahoma" w:hAnsi="Tahoma" w:cs="Tahoma"/>
          <w:sz w:val="20"/>
        </w:rPr>
        <w:t>da Portaria</w:t>
      </w:r>
      <w:r w:rsidR="007A0B11" w:rsidRPr="00C02E24">
        <w:rPr>
          <w:rFonts w:ascii="Tahoma" w:hAnsi="Tahoma" w:cs="Tahoma"/>
          <w:sz w:val="20"/>
        </w:rPr>
        <w:t xml:space="preserve"> MTP nº</w:t>
      </w:r>
      <w:r w:rsidR="00E03567" w:rsidRPr="00C02E24">
        <w:rPr>
          <w:rFonts w:ascii="Tahoma" w:hAnsi="Tahoma" w:cs="Tahoma"/>
          <w:sz w:val="20"/>
        </w:rPr>
        <w:t xml:space="preserve"> 1.467/2022, seção IV</w:t>
      </w:r>
      <w:r w:rsidRPr="00C02E24">
        <w:rPr>
          <w:rFonts w:ascii="Tahoma" w:hAnsi="Tahoma" w:cs="Tahoma"/>
          <w:sz w:val="20"/>
        </w:rPr>
        <w:t xml:space="preserve">. </w:t>
      </w:r>
    </w:p>
    <w:p w14:paraId="08869F69" w14:textId="21ABDA92" w:rsidR="00465C63" w:rsidRPr="00C02E24" w:rsidRDefault="00465C63" w:rsidP="00AD12FB">
      <w:pPr>
        <w:spacing w:after="120"/>
        <w:ind w:firstLine="709"/>
        <w:jc w:val="both"/>
        <w:rPr>
          <w:rFonts w:ascii="Tahoma" w:hAnsi="Tahoma" w:cs="Tahoma"/>
          <w:sz w:val="20"/>
        </w:rPr>
      </w:pPr>
      <w:r w:rsidRPr="00C02E24">
        <w:rPr>
          <w:rFonts w:ascii="Tahoma" w:hAnsi="Tahoma" w:cs="Tahoma"/>
          <w:sz w:val="20"/>
        </w:rPr>
        <w:t>O parecer completo emitido deverá conter</w:t>
      </w:r>
      <w:r w:rsidR="007F6D14" w:rsidRPr="00C02E24">
        <w:rPr>
          <w:rFonts w:ascii="Tahoma" w:hAnsi="Tahoma" w:cs="Tahoma"/>
          <w:sz w:val="20"/>
        </w:rPr>
        <w:t>,</w:t>
      </w:r>
      <w:r w:rsidRPr="00C02E24">
        <w:rPr>
          <w:rFonts w:ascii="Tahoma" w:hAnsi="Tahoma" w:cs="Tahoma"/>
          <w:sz w:val="20"/>
        </w:rPr>
        <w:t xml:space="preserve"> no mínimo</w:t>
      </w:r>
      <w:r w:rsidR="007F6D14" w:rsidRPr="00C02E24">
        <w:rPr>
          <w:rFonts w:ascii="Tahoma" w:hAnsi="Tahoma" w:cs="Tahoma"/>
          <w:sz w:val="20"/>
        </w:rPr>
        <w:t>,</w:t>
      </w:r>
      <w:r w:rsidRPr="00C02E24">
        <w:rPr>
          <w:rFonts w:ascii="Tahoma" w:hAnsi="Tahoma" w:cs="Tahoma"/>
          <w:sz w:val="20"/>
        </w:rPr>
        <w:t xml:space="preserve"> os seguintes critérios de avaliação:</w:t>
      </w:r>
    </w:p>
    <w:p w14:paraId="2F9E286E" w14:textId="77777777" w:rsidR="00465C63" w:rsidRPr="00C02E24" w:rsidRDefault="00465C63" w:rsidP="00AD12FB">
      <w:pPr>
        <w:spacing w:after="120"/>
        <w:ind w:left="426" w:firstLine="709"/>
        <w:jc w:val="both"/>
        <w:rPr>
          <w:rFonts w:ascii="Tahoma" w:hAnsi="Tahoma" w:cs="Tahoma"/>
          <w:sz w:val="20"/>
        </w:rPr>
      </w:pPr>
      <w:r w:rsidRPr="00C02E24">
        <w:rPr>
          <w:rFonts w:ascii="Tahoma" w:hAnsi="Tahoma" w:cs="Tahoma"/>
          <w:sz w:val="20"/>
        </w:rPr>
        <w:t>A. Análise das medidas de risco;</w:t>
      </w:r>
    </w:p>
    <w:p w14:paraId="6181E105" w14:textId="77777777" w:rsidR="00465C63" w:rsidRPr="00E168FF" w:rsidRDefault="00465C63" w:rsidP="00AD12FB">
      <w:pPr>
        <w:spacing w:after="120"/>
        <w:ind w:left="426" w:firstLine="709"/>
        <w:jc w:val="both"/>
        <w:rPr>
          <w:rFonts w:ascii="Tahoma" w:hAnsi="Tahoma" w:cs="Tahoma"/>
          <w:sz w:val="20"/>
        </w:rPr>
      </w:pPr>
      <w:r w:rsidRPr="00C02E24">
        <w:rPr>
          <w:rFonts w:ascii="Tahoma" w:hAnsi="Tahoma" w:cs="Tahoma"/>
          <w:sz w:val="20"/>
        </w:rPr>
        <w:t>B. Análise dos índices de performance;</w:t>
      </w:r>
    </w:p>
    <w:p w14:paraId="4EA26D95" w14:textId="77777777" w:rsidR="00465C63" w:rsidRPr="00E168FF" w:rsidRDefault="00465C63" w:rsidP="00AD12FB">
      <w:pPr>
        <w:spacing w:after="120"/>
        <w:ind w:left="426" w:firstLine="709"/>
        <w:jc w:val="both"/>
        <w:rPr>
          <w:rFonts w:ascii="Tahoma" w:hAnsi="Tahoma" w:cs="Tahoma"/>
          <w:sz w:val="20"/>
        </w:rPr>
      </w:pPr>
      <w:r w:rsidRPr="00E168FF">
        <w:rPr>
          <w:rFonts w:ascii="Tahoma" w:hAnsi="Tahoma" w:cs="Tahoma"/>
          <w:sz w:val="20"/>
        </w:rPr>
        <w:t>C. Análise de índices de eficiência;</w:t>
      </w:r>
    </w:p>
    <w:p w14:paraId="4852D521" w14:textId="77777777" w:rsidR="00465C63" w:rsidRPr="00E168FF" w:rsidRDefault="00465C63" w:rsidP="00AD12FB">
      <w:pPr>
        <w:spacing w:after="120"/>
        <w:ind w:left="426" w:firstLine="709"/>
        <w:jc w:val="both"/>
        <w:rPr>
          <w:rFonts w:ascii="Tahoma" w:hAnsi="Tahoma" w:cs="Tahoma"/>
          <w:sz w:val="20"/>
        </w:rPr>
      </w:pPr>
      <w:r w:rsidRPr="00E168FF">
        <w:rPr>
          <w:rFonts w:ascii="Tahoma" w:hAnsi="Tahoma" w:cs="Tahoma"/>
          <w:sz w:val="20"/>
        </w:rPr>
        <w:lastRenderedPageBreak/>
        <w:t>D. Análise do regulamento evidenciando as características, natureza,</w:t>
      </w:r>
      <w:r>
        <w:rPr>
          <w:rFonts w:ascii="Tahoma" w:hAnsi="Tahoma" w:cs="Tahoma"/>
          <w:sz w:val="20"/>
        </w:rPr>
        <w:t xml:space="preserve"> </w:t>
      </w:r>
      <w:r w:rsidRPr="00E168FF">
        <w:rPr>
          <w:rFonts w:ascii="Tahoma" w:hAnsi="Tahoma" w:cs="Tahoma"/>
          <w:sz w:val="20"/>
        </w:rPr>
        <w:t>enquadramento do produto e do relatório de agência de risco (se houver);</w:t>
      </w:r>
    </w:p>
    <w:p w14:paraId="2CC73153" w14:textId="77777777" w:rsidR="00465C63" w:rsidRPr="00E168FF" w:rsidRDefault="00465C63" w:rsidP="00AD12FB">
      <w:pPr>
        <w:spacing w:after="120"/>
        <w:ind w:left="426" w:firstLine="709"/>
        <w:jc w:val="both"/>
        <w:rPr>
          <w:rFonts w:ascii="Tahoma" w:hAnsi="Tahoma" w:cs="Tahoma"/>
          <w:sz w:val="20"/>
        </w:rPr>
      </w:pPr>
      <w:r w:rsidRPr="00E168FF">
        <w:rPr>
          <w:rFonts w:ascii="Tahoma" w:hAnsi="Tahoma" w:cs="Tahoma"/>
          <w:sz w:val="20"/>
        </w:rPr>
        <w:t>E. Análise da carteira do fundo com relação à carteira do benchmark. Quando</w:t>
      </w:r>
      <w:r>
        <w:rPr>
          <w:rFonts w:ascii="Tahoma" w:hAnsi="Tahoma" w:cs="Tahoma"/>
          <w:sz w:val="20"/>
        </w:rPr>
        <w:t xml:space="preserve"> </w:t>
      </w:r>
      <w:r w:rsidRPr="00E168FF">
        <w:rPr>
          <w:rFonts w:ascii="Tahoma" w:hAnsi="Tahoma" w:cs="Tahoma"/>
          <w:sz w:val="20"/>
        </w:rPr>
        <w:t>se tratar de ativos de créditos, verificar a concentração por emissor, notas</w:t>
      </w:r>
      <w:r>
        <w:rPr>
          <w:rFonts w:ascii="Tahoma" w:hAnsi="Tahoma" w:cs="Tahoma"/>
          <w:sz w:val="20"/>
        </w:rPr>
        <w:t xml:space="preserve"> </w:t>
      </w:r>
      <w:r w:rsidRPr="00E168FF">
        <w:rPr>
          <w:rFonts w:ascii="Tahoma" w:hAnsi="Tahoma" w:cs="Tahoma"/>
          <w:sz w:val="20"/>
        </w:rPr>
        <w:t>de risco dos ativos e vencimento dos títulos;</w:t>
      </w:r>
    </w:p>
    <w:p w14:paraId="70BC0AED" w14:textId="583F250C" w:rsidR="00465C63" w:rsidRPr="00E168FF" w:rsidRDefault="00465C63" w:rsidP="00AD12FB">
      <w:pPr>
        <w:spacing w:after="120"/>
        <w:ind w:left="426" w:firstLine="709"/>
        <w:jc w:val="both"/>
        <w:rPr>
          <w:rFonts w:ascii="Tahoma" w:hAnsi="Tahoma" w:cs="Tahoma"/>
          <w:sz w:val="20"/>
        </w:rPr>
      </w:pPr>
      <w:r w:rsidRPr="00E168FF">
        <w:rPr>
          <w:rFonts w:ascii="Tahoma" w:hAnsi="Tahoma" w:cs="Tahoma"/>
          <w:sz w:val="20"/>
        </w:rPr>
        <w:t>F. Informações claras que permitam a identificação dos fatores positivos e</w:t>
      </w:r>
      <w:r>
        <w:rPr>
          <w:rFonts w:ascii="Tahoma" w:hAnsi="Tahoma" w:cs="Tahoma"/>
          <w:sz w:val="20"/>
        </w:rPr>
        <w:t xml:space="preserve"> </w:t>
      </w:r>
      <w:r w:rsidRPr="00E168FF">
        <w:rPr>
          <w:rFonts w:ascii="Tahoma" w:hAnsi="Tahoma" w:cs="Tahoma"/>
          <w:sz w:val="20"/>
        </w:rPr>
        <w:t>negativos do investimento, quando se tratar de FIP, FII e FIDC. As</w:t>
      </w:r>
      <w:r>
        <w:rPr>
          <w:rFonts w:ascii="Tahoma" w:hAnsi="Tahoma" w:cs="Tahoma"/>
          <w:sz w:val="20"/>
        </w:rPr>
        <w:t xml:space="preserve"> </w:t>
      </w:r>
      <w:r w:rsidRPr="00E168FF">
        <w:rPr>
          <w:rFonts w:ascii="Tahoma" w:hAnsi="Tahoma" w:cs="Tahoma"/>
          <w:sz w:val="20"/>
        </w:rPr>
        <w:t>informações servirão de apoio à decisão acerca das alocações por parte do</w:t>
      </w:r>
      <w:r>
        <w:rPr>
          <w:rFonts w:ascii="Tahoma" w:hAnsi="Tahoma" w:cs="Tahoma"/>
          <w:sz w:val="20"/>
        </w:rPr>
        <w:t xml:space="preserve"> </w:t>
      </w:r>
      <w:r w:rsidR="007F6D14">
        <w:rPr>
          <w:rFonts w:ascii="Tahoma" w:hAnsi="Tahoma" w:cs="Tahoma"/>
          <w:sz w:val="20"/>
        </w:rPr>
        <w:t>Comitê de Investimentos</w:t>
      </w:r>
      <w:r w:rsidRPr="00E168FF">
        <w:rPr>
          <w:rFonts w:ascii="Tahoma" w:hAnsi="Tahoma" w:cs="Tahoma"/>
          <w:sz w:val="20"/>
        </w:rPr>
        <w:t>.</w:t>
      </w:r>
    </w:p>
    <w:p w14:paraId="78FC14C3" w14:textId="77777777" w:rsidR="00465C63" w:rsidRPr="00E168FF" w:rsidRDefault="00465C63" w:rsidP="00AD12FB">
      <w:pPr>
        <w:spacing w:after="120"/>
        <w:ind w:left="426" w:firstLine="709"/>
        <w:jc w:val="both"/>
        <w:rPr>
          <w:rFonts w:ascii="Tahoma" w:hAnsi="Tahoma" w:cs="Tahoma"/>
          <w:sz w:val="20"/>
        </w:rPr>
      </w:pPr>
      <w:r w:rsidRPr="00E168FF">
        <w:rPr>
          <w:rFonts w:ascii="Tahoma" w:hAnsi="Tahoma" w:cs="Tahoma"/>
          <w:sz w:val="20"/>
        </w:rPr>
        <w:t>G. Enquadramento.</w:t>
      </w:r>
    </w:p>
    <w:p w14:paraId="442E8DDD" w14:textId="68CE6B21" w:rsidR="00465C63" w:rsidRDefault="00465C63" w:rsidP="00AD12FB">
      <w:pPr>
        <w:spacing w:after="120"/>
        <w:ind w:firstLine="709"/>
        <w:jc w:val="both"/>
        <w:rPr>
          <w:rFonts w:ascii="Tahoma" w:hAnsi="Tahoma" w:cs="Tahoma"/>
          <w:sz w:val="20"/>
        </w:rPr>
      </w:pPr>
      <w:r w:rsidRPr="005719FA">
        <w:rPr>
          <w:rFonts w:ascii="Tahoma" w:hAnsi="Tahoma" w:cs="Tahoma"/>
          <w:b/>
          <w:bCs/>
          <w:sz w:val="20"/>
        </w:rPr>
        <w:t xml:space="preserve">A precificação dos ativos que trata o inciso V, do Art. 4° da Resolução CMN nº </w:t>
      </w:r>
      <w:r w:rsidR="009134DA">
        <w:rPr>
          <w:rFonts w:ascii="Tahoma" w:hAnsi="Tahoma" w:cs="Tahoma"/>
          <w:b/>
          <w:bCs/>
          <w:sz w:val="20"/>
        </w:rPr>
        <w:t>4.963/2021</w:t>
      </w:r>
      <w:r w:rsidRPr="00E168FF">
        <w:rPr>
          <w:rFonts w:ascii="Tahoma" w:hAnsi="Tahoma" w:cs="Tahoma"/>
          <w:sz w:val="20"/>
        </w:rPr>
        <w:t>, será efetuada com base nas informações divulgadas pelos</w:t>
      </w:r>
      <w:r>
        <w:rPr>
          <w:rFonts w:ascii="Tahoma" w:hAnsi="Tahoma" w:cs="Tahoma"/>
          <w:sz w:val="20"/>
        </w:rPr>
        <w:t xml:space="preserve"> </w:t>
      </w:r>
      <w:r w:rsidRPr="00E168FF">
        <w:rPr>
          <w:rFonts w:ascii="Tahoma" w:hAnsi="Tahoma" w:cs="Tahoma"/>
          <w:sz w:val="20"/>
        </w:rPr>
        <w:t>órgãos responsáveis, tais como B3, CVM e ANBIMA</w:t>
      </w:r>
      <w:r>
        <w:rPr>
          <w:rFonts w:ascii="Tahoma" w:hAnsi="Tahoma" w:cs="Tahoma"/>
          <w:sz w:val="20"/>
        </w:rPr>
        <w:t>.</w:t>
      </w:r>
    </w:p>
    <w:p w14:paraId="49051D7E" w14:textId="67E3A3B3" w:rsidR="00465C63" w:rsidRDefault="00465C63" w:rsidP="00AD12FB">
      <w:pPr>
        <w:spacing w:after="120"/>
        <w:ind w:firstLine="709"/>
        <w:rPr>
          <w:rFonts w:ascii="Tahoma" w:hAnsi="Tahoma" w:cs="Tahoma"/>
          <w:sz w:val="20"/>
        </w:rPr>
      </w:pPr>
    </w:p>
    <w:p w14:paraId="10A57BAD" w14:textId="1BB47CE0" w:rsidR="001A00B6" w:rsidRPr="001A00B6" w:rsidRDefault="001A00B6" w:rsidP="00EC5FD6">
      <w:pPr>
        <w:pStyle w:val="Subttulo"/>
        <w:rPr>
          <w:sz w:val="20"/>
        </w:rPr>
      </w:pPr>
      <w:bookmarkStart w:id="43" w:name="_Toc181542588"/>
      <w:r w:rsidRPr="001A00B6">
        <w:rPr>
          <w:sz w:val="20"/>
        </w:rPr>
        <w:t>D</w:t>
      </w:r>
      <w:r>
        <w:rPr>
          <w:sz w:val="20"/>
        </w:rPr>
        <w:t>eliberações sobre novos Investimentos</w:t>
      </w:r>
      <w:bookmarkEnd w:id="43"/>
    </w:p>
    <w:p w14:paraId="083ADC87" w14:textId="05958143" w:rsidR="001A00B6" w:rsidRPr="00C02E24" w:rsidRDefault="001A00B6" w:rsidP="00AD12FB">
      <w:pPr>
        <w:spacing w:after="120"/>
        <w:ind w:firstLine="709"/>
        <w:jc w:val="both"/>
        <w:rPr>
          <w:rFonts w:ascii="Tahoma" w:hAnsi="Tahoma" w:cs="Tahoma"/>
          <w:sz w:val="20"/>
        </w:rPr>
      </w:pPr>
      <w:r w:rsidRPr="001A00B6">
        <w:rPr>
          <w:rFonts w:ascii="Tahoma" w:hAnsi="Tahoma" w:cs="Tahoma"/>
          <w:sz w:val="20"/>
        </w:rPr>
        <w:t xml:space="preserve">Os recursos financeiros do RPPS deverão ser geridos em conformidade com </w:t>
      </w:r>
      <w:r w:rsidR="00162171">
        <w:rPr>
          <w:rFonts w:ascii="Tahoma" w:hAnsi="Tahoma" w:cs="Tahoma"/>
          <w:sz w:val="20"/>
        </w:rPr>
        <w:t>est</w:t>
      </w:r>
      <w:r w:rsidRPr="001A00B6">
        <w:rPr>
          <w:rFonts w:ascii="Tahoma" w:hAnsi="Tahoma" w:cs="Tahoma"/>
          <w:sz w:val="20"/>
        </w:rPr>
        <w:t xml:space="preserve">a </w:t>
      </w:r>
      <w:r w:rsidR="007A0B11">
        <w:rPr>
          <w:rFonts w:ascii="Tahoma" w:hAnsi="Tahoma" w:cs="Tahoma"/>
          <w:sz w:val="20"/>
        </w:rPr>
        <w:t>Política de Investimentos</w:t>
      </w:r>
      <w:r w:rsidRPr="001A00B6">
        <w:rPr>
          <w:rFonts w:ascii="Tahoma" w:hAnsi="Tahoma" w:cs="Tahoma"/>
          <w:sz w:val="20"/>
        </w:rPr>
        <w:t xml:space="preserve"> e com os </w:t>
      </w:r>
      <w:r w:rsidRPr="00C02E24">
        <w:rPr>
          <w:rFonts w:ascii="Tahoma" w:hAnsi="Tahoma" w:cs="Tahoma"/>
          <w:sz w:val="20"/>
        </w:rPr>
        <w:t>critérios para credenciamento de instituições e contratações. Deverão ser adotadas regras, procedimentos e controles internos que visem à promoção de elevados padrões éticos na condução das operações, bem como à eficiência dos procedimentos técnicos, operacionais e de controle das aplicações.</w:t>
      </w:r>
    </w:p>
    <w:p w14:paraId="0D34D2CF" w14:textId="426B57AF" w:rsidR="001A00B6" w:rsidRPr="00C02E24" w:rsidRDefault="001A00B6" w:rsidP="00AD12FB">
      <w:pPr>
        <w:spacing w:after="120"/>
        <w:ind w:firstLine="709"/>
        <w:jc w:val="both"/>
        <w:rPr>
          <w:rFonts w:ascii="Tahoma" w:hAnsi="Tahoma" w:cs="Tahoma"/>
          <w:sz w:val="20"/>
        </w:rPr>
      </w:pPr>
      <w:r w:rsidRPr="00C02E24">
        <w:rPr>
          <w:rFonts w:ascii="Tahoma" w:hAnsi="Tahoma" w:cs="Tahoma"/>
          <w:sz w:val="20"/>
        </w:rPr>
        <w:t>Os recursos dos RPPS serão aplicados no mercado financeiro e de capitais em conformidade com regras estabelecidas pelo Conselho Monetário Nacional - CMN.</w:t>
      </w:r>
    </w:p>
    <w:p w14:paraId="2B0F9E4E" w14:textId="161AD63F" w:rsidR="001A00B6" w:rsidRDefault="001A00B6" w:rsidP="00AD12FB">
      <w:pPr>
        <w:spacing w:after="120"/>
        <w:ind w:firstLine="709"/>
        <w:jc w:val="both"/>
        <w:rPr>
          <w:rFonts w:ascii="Tahoma" w:hAnsi="Tahoma" w:cs="Tahoma"/>
          <w:sz w:val="20"/>
        </w:rPr>
      </w:pPr>
      <w:r w:rsidRPr="00C02E24">
        <w:rPr>
          <w:rFonts w:ascii="Tahoma" w:hAnsi="Tahoma" w:cs="Tahoma"/>
          <w:sz w:val="20"/>
        </w:rPr>
        <w:t>Conforme previsto no art. 88º da Portaria</w:t>
      </w:r>
      <w:r w:rsidR="007F6D14" w:rsidRPr="00C02E24">
        <w:rPr>
          <w:rFonts w:ascii="Tahoma" w:hAnsi="Tahoma" w:cs="Tahoma"/>
          <w:sz w:val="20"/>
        </w:rPr>
        <w:t xml:space="preserve"> MTP nº</w:t>
      </w:r>
      <w:r w:rsidRPr="00C02E24">
        <w:rPr>
          <w:rFonts w:ascii="Tahoma" w:hAnsi="Tahoma" w:cs="Tahoma"/>
          <w:sz w:val="20"/>
        </w:rPr>
        <w:t xml:space="preserve"> 1.467/2022, os processos decisórios dos investimentos de recursos do RPPS se referem às operações de alocação e assim deverá a unidade gestora implementar processo de controle de qualidade e documentação</w:t>
      </w:r>
      <w:r w:rsidRPr="001A00B6">
        <w:rPr>
          <w:rFonts w:ascii="Tahoma" w:hAnsi="Tahoma" w:cs="Tahoma"/>
          <w:sz w:val="20"/>
        </w:rPr>
        <w:t>, revisão e requisitos de auditoria rigorosos no que se refere às decisões na aplicação dos recursos</w:t>
      </w:r>
      <w:r w:rsidR="00D1268C">
        <w:rPr>
          <w:rFonts w:ascii="Tahoma" w:hAnsi="Tahoma" w:cs="Tahoma"/>
          <w:sz w:val="20"/>
        </w:rPr>
        <w:t>.</w:t>
      </w:r>
    </w:p>
    <w:p w14:paraId="3786619B" w14:textId="0D30CF14" w:rsidR="001A00B6" w:rsidRPr="00BE6FCD" w:rsidRDefault="001A00B6" w:rsidP="00AD12FB">
      <w:pPr>
        <w:spacing w:after="120"/>
        <w:ind w:firstLine="709"/>
        <w:jc w:val="both"/>
        <w:rPr>
          <w:rFonts w:ascii="Tahoma" w:hAnsi="Tahoma" w:cs="Tahoma"/>
          <w:sz w:val="20"/>
        </w:rPr>
      </w:pPr>
      <w:r w:rsidRPr="00C02E24">
        <w:rPr>
          <w:rFonts w:ascii="Tahoma" w:hAnsi="Tahoma" w:cs="Tahoma"/>
          <w:b/>
          <w:bCs/>
          <w:sz w:val="20"/>
        </w:rPr>
        <w:t>Somente</w:t>
      </w:r>
      <w:r w:rsidRPr="00C02E24">
        <w:rPr>
          <w:rFonts w:ascii="Tahoma" w:hAnsi="Tahoma" w:cs="Tahoma"/>
          <w:sz w:val="20"/>
        </w:rPr>
        <w:t xml:space="preserve"> s</w:t>
      </w:r>
      <w:r w:rsidR="00162171" w:rsidRPr="00C02E24">
        <w:rPr>
          <w:rFonts w:ascii="Tahoma" w:hAnsi="Tahoma" w:cs="Tahoma"/>
          <w:sz w:val="20"/>
        </w:rPr>
        <w:t>er</w:t>
      </w:r>
      <w:r w:rsidR="00521366" w:rsidRPr="00C02E24">
        <w:rPr>
          <w:rFonts w:ascii="Tahoma" w:hAnsi="Tahoma" w:cs="Tahoma"/>
          <w:sz w:val="20"/>
        </w:rPr>
        <w:t>á</w:t>
      </w:r>
      <w:r w:rsidRPr="00C02E24">
        <w:rPr>
          <w:rFonts w:ascii="Tahoma" w:hAnsi="Tahoma" w:cs="Tahoma"/>
          <w:sz w:val="20"/>
        </w:rPr>
        <w:t xml:space="preserve"> encaminhado para </w:t>
      </w:r>
      <w:r w:rsidR="00162171" w:rsidRPr="00C02E24">
        <w:rPr>
          <w:rFonts w:ascii="Tahoma" w:hAnsi="Tahoma" w:cs="Tahoma"/>
          <w:sz w:val="20"/>
        </w:rPr>
        <w:t>análise</w:t>
      </w:r>
      <w:r w:rsidRPr="00C02E24">
        <w:rPr>
          <w:rFonts w:ascii="Tahoma" w:hAnsi="Tahoma" w:cs="Tahoma"/>
          <w:sz w:val="20"/>
        </w:rPr>
        <w:t xml:space="preserve"> o </w:t>
      </w:r>
      <w:r w:rsidR="00162171" w:rsidRPr="00C02E24">
        <w:rPr>
          <w:rFonts w:ascii="Tahoma" w:hAnsi="Tahoma" w:cs="Tahoma"/>
          <w:sz w:val="20"/>
        </w:rPr>
        <w:t>ativo</w:t>
      </w:r>
      <w:r w:rsidRPr="00C02E24">
        <w:rPr>
          <w:rFonts w:ascii="Tahoma" w:hAnsi="Tahoma" w:cs="Tahoma"/>
          <w:sz w:val="20"/>
        </w:rPr>
        <w:t xml:space="preserve"> </w:t>
      </w:r>
      <w:r w:rsidR="00162171" w:rsidRPr="00C02E24">
        <w:rPr>
          <w:rFonts w:ascii="Tahoma" w:hAnsi="Tahoma" w:cs="Tahoma"/>
          <w:sz w:val="20"/>
        </w:rPr>
        <w:t>onde,</w:t>
      </w:r>
      <w:r w:rsidRPr="00C02E24">
        <w:rPr>
          <w:rFonts w:ascii="Tahoma" w:hAnsi="Tahoma" w:cs="Tahoma"/>
          <w:sz w:val="20"/>
        </w:rPr>
        <w:t xml:space="preserve"> tanto a </w:t>
      </w:r>
      <w:r w:rsidRPr="00C02E24">
        <w:rPr>
          <w:rFonts w:ascii="Tahoma" w:hAnsi="Tahoma" w:cs="Tahoma"/>
          <w:sz w:val="20"/>
          <w:u w:val="single"/>
        </w:rPr>
        <w:t>instituiç</w:t>
      </w:r>
      <w:r w:rsidR="00521366" w:rsidRPr="00C02E24">
        <w:rPr>
          <w:rFonts w:ascii="Tahoma" w:hAnsi="Tahoma" w:cs="Tahoma"/>
          <w:sz w:val="20"/>
          <w:u w:val="single"/>
        </w:rPr>
        <w:t>ão</w:t>
      </w:r>
      <w:r w:rsidR="00162171" w:rsidRPr="00C02E24">
        <w:rPr>
          <w:rFonts w:ascii="Tahoma" w:hAnsi="Tahoma" w:cs="Tahoma"/>
          <w:sz w:val="20"/>
          <w:u w:val="single"/>
        </w:rPr>
        <w:t xml:space="preserve"> financeira</w:t>
      </w:r>
      <w:r w:rsidR="007F6D14" w:rsidRPr="00C02E24">
        <w:rPr>
          <w:rFonts w:ascii="Tahoma" w:hAnsi="Tahoma" w:cs="Tahoma"/>
          <w:sz w:val="20"/>
        </w:rPr>
        <w:t xml:space="preserve"> quanto</w:t>
      </w:r>
      <w:r w:rsidR="00521366" w:rsidRPr="00C02E24">
        <w:rPr>
          <w:rFonts w:ascii="Tahoma" w:hAnsi="Tahoma" w:cs="Tahoma"/>
          <w:sz w:val="20"/>
        </w:rPr>
        <w:t xml:space="preserve"> os </w:t>
      </w:r>
      <w:r w:rsidR="00521366" w:rsidRPr="00C02E24">
        <w:rPr>
          <w:rFonts w:ascii="Tahoma" w:hAnsi="Tahoma" w:cs="Tahoma"/>
          <w:sz w:val="20"/>
          <w:u w:val="single"/>
        </w:rPr>
        <w:t>participantes</w:t>
      </w:r>
      <w:r w:rsidR="00521366" w:rsidRPr="00C02E24">
        <w:rPr>
          <w:rFonts w:ascii="Tahoma" w:hAnsi="Tahoma" w:cs="Tahoma"/>
          <w:sz w:val="20"/>
        </w:rPr>
        <w:t>,</w:t>
      </w:r>
      <w:r w:rsidR="00142717" w:rsidRPr="00C02E24">
        <w:rPr>
          <w:rFonts w:ascii="Tahoma" w:hAnsi="Tahoma" w:cs="Tahoma"/>
          <w:sz w:val="20"/>
        </w:rPr>
        <w:t xml:space="preserve"> </w:t>
      </w:r>
      <w:r w:rsidR="00D1268C" w:rsidRPr="00C02E24">
        <w:rPr>
          <w:rFonts w:ascii="Tahoma" w:hAnsi="Tahoma" w:cs="Tahoma"/>
          <w:sz w:val="20"/>
        </w:rPr>
        <w:t>atenda</w:t>
      </w:r>
      <w:r w:rsidR="00E03567" w:rsidRPr="00C02E24">
        <w:rPr>
          <w:rFonts w:ascii="Tahoma" w:hAnsi="Tahoma" w:cs="Tahoma"/>
          <w:sz w:val="20"/>
        </w:rPr>
        <w:t>m</w:t>
      </w:r>
      <w:r w:rsidR="00D1268C" w:rsidRPr="00C02E24">
        <w:rPr>
          <w:rFonts w:ascii="Tahoma" w:hAnsi="Tahoma" w:cs="Tahoma"/>
          <w:sz w:val="20"/>
        </w:rPr>
        <w:t xml:space="preserve"> o </w:t>
      </w:r>
      <w:r w:rsidR="00142717" w:rsidRPr="00C02E24">
        <w:rPr>
          <w:rFonts w:ascii="Tahoma" w:hAnsi="Tahoma" w:cs="Tahoma"/>
          <w:sz w:val="20"/>
          <w:u w:val="single"/>
        </w:rPr>
        <w:t>perfil de investidor</w:t>
      </w:r>
      <w:r w:rsidR="00142717" w:rsidRPr="00C02E24">
        <w:rPr>
          <w:rFonts w:ascii="Tahoma" w:hAnsi="Tahoma" w:cs="Tahoma"/>
          <w:sz w:val="20"/>
        </w:rPr>
        <w:t xml:space="preserve"> do RPPS</w:t>
      </w:r>
      <w:r w:rsidR="00162171" w:rsidRPr="00C02E24">
        <w:rPr>
          <w:rFonts w:ascii="Tahoma" w:hAnsi="Tahoma" w:cs="Tahoma"/>
          <w:sz w:val="20"/>
        </w:rPr>
        <w:t xml:space="preserve"> </w:t>
      </w:r>
      <w:r w:rsidR="00D1268C" w:rsidRPr="00C02E24">
        <w:rPr>
          <w:rFonts w:ascii="Tahoma" w:hAnsi="Tahoma" w:cs="Tahoma"/>
          <w:sz w:val="20"/>
        </w:rPr>
        <w:t>e o</w:t>
      </w:r>
      <w:r w:rsidRPr="00C02E24">
        <w:rPr>
          <w:rFonts w:ascii="Tahoma" w:hAnsi="Tahoma" w:cs="Tahoma"/>
          <w:sz w:val="20"/>
        </w:rPr>
        <w:t xml:space="preserve"> </w:t>
      </w:r>
      <w:r w:rsidRPr="00C02E24">
        <w:rPr>
          <w:rFonts w:ascii="Tahoma" w:hAnsi="Tahoma" w:cs="Tahoma"/>
          <w:sz w:val="20"/>
          <w:u w:val="single"/>
        </w:rPr>
        <w:t>fundo de investimento</w:t>
      </w:r>
      <w:r w:rsidRPr="00C02E24">
        <w:rPr>
          <w:rFonts w:ascii="Tahoma" w:hAnsi="Tahoma" w:cs="Tahoma"/>
          <w:sz w:val="20"/>
        </w:rPr>
        <w:t xml:space="preserve"> </w:t>
      </w:r>
      <w:r w:rsidR="00D1268C" w:rsidRPr="00C02E24">
        <w:rPr>
          <w:rFonts w:ascii="Tahoma" w:hAnsi="Tahoma" w:cs="Tahoma"/>
          <w:sz w:val="20"/>
        </w:rPr>
        <w:t>acate</w:t>
      </w:r>
      <w:r w:rsidR="00162171" w:rsidRPr="00C02E24">
        <w:rPr>
          <w:rFonts w:ascii="Tahoma" w:hAnsi="Tahoma" w:cs="Tahoma"/>
          <w:sz w:val="20"/>
        </w:rPr>
        <w:t xml:space="preserve"> os pré-requisitos e, </w:t>
      </w:r>
      <w:r w:rsidR="004606F5" w:rsidRPr="00C02E24">
        <w:rPr>
          <w:rFonts w:ascii="Tahoma" w:hAnsi="Tahoma" w:cs="Tahoma"/>
          <w:sz w:val="20"/>
        </w:rPr>
        <w:t>sendo assim</w:t>
      </w:r>
      <w:r w:rsidR="00162171" w:rsidRPr="00C02E24">
        <w:rPr>
          <w:rFonts w:ascii="Tahoma" w:hAnsi="Tahoma" w:cs="Tahoma"/>
          <w:sz w:val="20"/>
        </w:rPr>
        <w:t xml:space="preserve"> ser</w:t>
      </w:r>
      <w:r w:rsidR="00521366" w:rsidRPr="00C02E24">
        <w:rPr>
          <w:rFonts w:ascii="Tahoma" w:hAnsi="Tahoma" w:cs="Tahoma"/>
          <w:sz w:val="20"/>
        </w:rPr>
        <w:t>á encaminhado para</w:t>
      </w:r>
      <w:r w:rsidRPr="00C02E24">
        <w:rPr>
          <w:rFonts w:ascii="Tahoma" w:hAnsi="Tahoma" w:cs="Tahoma"/>
          <w:sz w:val="20"/>
        </w:rPr>
        <w:t xml:space="preserve"> an</w:t>
      </w:r>
      <w:r w:rsidR="00EC09AA" w:rsidRPr="00C02E24">
        <w:rPr>
          <w:rFonts w:ascii="Tahoma" w:hAnsi="Tahoma" w:cs="Tahoma"/>
          <w:sz w:val="20"/>
        </w:rPr>
        <w:t>á</w:t>
      </w:r>
      <w:r w:rsidRPr="00C02E24">
        <w:rPr>
          <w:rFonts w:ascii="Tahoma" w:hAnsi="Tahoma" w:cs="Tahoma"/>
          <w:sz w:val="20"/>
        </w:rPr>
        <w:t>lis</w:t>
      </w:r>
      <w:r w:rsidR="00521366" w:rsidRPr="00C02E24">
        <w:rPr>
          <w:rFonts w:ascii="Tahoma" w:hAnsi="Tahoma" w:cs="Tahoma"/>
          <w:sz w:val="20"/>
        </w:rPr>
        <w:t>e</w:t>
      </w:r>
      <w:r w:rsidRPr="00C02E24">
        <w:rPr>
          <w:rFonts w:ascii="Tahoma" w:hAnsi="Tahoma" w:cs="Tahoma"/>
          <w:sz w:val="20"/>
        </w:rPr>
        <w:t xml:space="preserve"> </w:t>
      </w:r>
      <w:r w:rsidR="00521366" w:rsidRPr="00C02E24">
        <w:rPr>
          <w:rFonts w:ascii="Tahoma" w:hAnsi="Tahoma" w:cs="Tahoma"/>
          <w:sz w:val="20"/>
        </w:rPr>
        <w:t>do</w:t>
      </w:r>
      <w:r w:rsidR="00162171" w:rsidRPr="00C02E24">
        <w:rPr>
          <w:rFonts w:ascii="Tahoma" w:hAnsi="Tahoma" w:cs="Tahoma"/>
          <w:sz w:val="20"/>
        </w:rPr>
        <w:t xml:space="preserve"> Gestor e </w:t>
      </w:r>
      <w:r w:rsidR="007F6D14" w:rsidRPr="00C02E24">
        <w:rPr>
          <w:rFonts w:ascii="Tahoma" w:hAnsi="Tahoma" w:cs="Tahoma"/>
          <w:sz w:val="20"/>
        </w:rPr>
        <w:t>Comitê de Investimentos</w:t>
      </w:r>
      <w:r w:rsidR="00162171" w:rsidRPr="00C02E24">
        <w:rPr>
          <w:rFonts w:ascii="Tahoma" w:hAnsi="Tahoma" w:cs="Tahoma"/>
          <w:sz w:val="20"/>
        </w:rPr>
        <w:t xml:space="preserve"> do RPPS, </w:t>
      </w:r>
      <w:r w:rsidRPr="00C02E24">
        <w:rPr>
          <w:rFonts w:ascii="Tahoma" w:hAnsi="Tahoma" w:cs="Tahoma"/>
          <w:sz w:val="20"/>
        </w:rPr>
        <w:t>pela Consultoria e</w:t>
      </w:r>
      <w:r w:rsidR="00521366" w:rsidRPr="00C02E24">
        <w:rPr>
          <w:rFonts w:ascii="Tahoma" w:hAnsi="Tahoma" w:cs="Tahoma"/>
          <w:sz w:val="20"/>
        </w:rPr>
        <w:t>,</w:t>
      </w:r>
      <w:r w:rsidR="00162171" w:rsidRPr="00C02E24">
        <w:rPr>
          <w:rFonts w:ascii="Tahoma" w:hAnsi="Tahoma" w:cs="Tahoma"/>
          <w:sz w:val="20"/>
        </w:rPr>
        <w:t xml:space="preserve"> </w:t>
      </w:r>
      <w:r w:rsidR="00521366" w:rsidRPr="00C02E24">
        <w:rPr>
          <w:rFonts w:ascii="Tahoma" w:hAnsi="Tahoma" w:cs="Tahoma"/>
          <w:sz w:val="20"/>
        </w:rPr>
        <w:t>sendo</w:t>
      </w:r>
      <w:r w:rsidR="00162171" w:rsidRPr="00C02E24">
        <w:rPr>
          <w:rFonts w:ascii="Tahoma" w:hAnsi="Tahoma" w:cs="Tahoma"/>
          <w:sz w:val="20"/>
        </w:rPr>
        <w:t xml:space="preserve"> aprovado,</w:t>
      </w:r>
      <w:r w:rsidR="00521366" w:rsidRPr="00C02E24">
        <w:rPr>
          <w:rFonts w:ascii="Tahoma" w:hAnsi="Tahoma" w:cs="Tahoma"/>
          <w:sz w:val="20"/>
        </w:rPr>
        <w:t xml:space="preserve"> deverá ser </w:t>
      </w:r>
      <w:r w:rsidR="00521366" w:rsidRPr="00C02E24">
        <w:rPr>
          <w:rFonts w:ascii="Tahoma" w:hAnsi="Tahoma" w:cs="Tahoma"/>
          <w:b/>
          <w:bCs/>
          <w:sz w:val="20"/>
        </w:rPr>
        <w:t>encaminhado para deliberação</w:t>
      </w:r>
      <w:r w:rsidR="00521366" w:rsidRPr="00C02E24">
        <w:rPr>
          <w:rFonts w:ascii="Tahoma" w:hAnsi="Tahoma" w:cs="Tahoma"/>
          <w:sz w:val="20"/>
        </w:rPr>
        <w:t xml:space="preserve">. Após esse trâmite, se </w:t>
      </w:r>
      <w:r w:rsidR="00521366" w:rsidRPr="00BE6FCD">
        <w:rPr>
          <w:rFonts w:ascii="Tahoma" w:hAnsi="Tahoma" w:cs="Tahoma"/>
          <w:sz w:val="20"/>
        </w:rPr>
        <w:t>aprovado,</w:t>
      </w:r>
      <w:r w:rsidR="00162171" w:rsidRPr="00BE6FCD">
        <w:rPr>
          <w:rFonts w:ascii="Tahoma" w:hAnsi="Tahoma" w:cs="Tahoma"/>
          <w:sz w:val="20"/>
        </w:rPr>
        <w:t xml:space="preserve"> poderá ser</w:t>
      </w:r>
      <w:r w:rsidRPr="00BE6FCD">
        <w:rPr>
          <w:rFonts w:ascii="Tahoma" w:hAnsi="Tahoma" w:cs="Tahoma"/>
          <w:sz w:val="20"/>
        </w:rPr>
        <w:t xml:space="preserve"> devidamente credenciado pelo </w:t>
      </w:r>
      <w:r w:rsidR="007F6D14" w:rsidRPr="00BE6FCD">
        <w:rPr>
          <w:rFonts w:ascii="Tahoma" w:hAnsi="Tahoma" w:cs="Tahoma"/>
          <w:sz w:val="20"/>
        </w:rPr>
        <w:t>Comitê de Investimentos</w:t>
      </w:r>
      <w:r w:rsidR="00521366" w:rsidRPr="00BE6FCD">
        <w:rPr>
          <w:rFonts w:ascii="Tahoma" w:hAnsi="Tahoma" w:cs="Tahoma"/>
          <w:sz w:val="20"/>
        </w:rPr>
        <w:t xml:space="preserve">, conforme regras da Portaria </w:t>
      </w:r>
      <w:r w:rsidR="007F6D14" w:rsidRPr="00BE6FCD">
        <w:rPr>
          <w:rFonts w:ascii="Tahoma" w:hAnsi="Tahoma" w:cs="Tahoma"/>
          <w:sz w:val="20"/>
        </w:rPr>
        <w:t xml:space="preserve">MTP nº </w:t>
      </w:r>
      <w:r w:rsidR="00521366" w:rsidRPr="00BE6FCD">
        <w:rPr>
          <w:rFonts w:ascii="Tahoma" w:hAnsi="Tahoma" w:cs="Tahoma"/>
          <w:sz w:val="20"/>
        </w:rPr>
        <w:t>1.467/</w:t>
      </w:r>
      <w:r w:rsidR="00946F98">
        <w:rPr>
          <w:rFonts w:ascii="Tahoma" w:hAnsi="Tahoma" w:cs="Tahoma"/>
          <w:sz w:val="20"/>
        </w:rPr>
        <w:t>20</w:t>
      </w:r>
      <w:r w:rsidR="00521366" w:rsidRPr="00BE6FCD">
        <w:rPr>
          <w:rFonts w:ascii="Tahoma" w:hAnsi="Tahoma" w:cs="Tahoma"/>
          <w:sz w:val="20"/>
        </w:rPr>
        <w:t>22</w:t>
      </w:r>
      <w:r w:rsidRPr="00BE6FCD">
        <w:rPr>
          <w:rFonts w:ascii="Tahoma" w:hAnsi="Tahoma" w:cs="Tahoma"/>
          <w:sz w:val="20"/>
        </w:rPr>
        <w:t>.</w:t>
      </w:r>
    </w:p>
    <w:p w14:paraId="1F7B310C" w14:textId="744092DF" w:rsidR="008202D4" w:rsidRDefault="001A00B6" w:rsidP="00AD12FB">
      <w:pPr>
        <w:spacing w:after="120"/>
        <w:ind w:firstLine="709"/>
        <w:jc w:val="both"/>
        <w:rPr>
          <w:rFonts w:ascii="Tahoma" w:hAnsi="Tahoma" w:cs="Tahoma"/>
          <w:sz w:val="20"/>
        </w:rPr>
      </w:pPr>
      <w:r w:rsidRPr="00BE6FCD">
        <w:rPr>
          <w:rFonts w:ascii="Tahoma" w:hAnsi="Tahoma" w:cs="Tahoma"/>
          <w:sz w:val="20"/>
        </w:rPr>
        <w:t>Todas as deliberações são registradas em Ata e publicada</w:t>
      </w:r>
      <w:r w:rsidR="007F6D14" w:rsidRPr="00BE6FCD">
        <w:rPr>
          <w:rFonts w:ascii="Tahoma" w:hAnsi="Tahoma" w:cs="Tahoma"/>
          <w:sz w:val="20"/>
        </w:rPr>
        <w:t>s</w:t>
      </w:r>
      <w:r w:rsidRPr="00BE6FCD">
        <w:rPr>
          <w:rFonts w:ascii="Tahoma" w:hAnsi="Tahoma" w:cs="Tahoma"/>
          <w:sz w:val="20"/>
        </w:rPr>
        <w:t xml:space="preserve"> por ambos os órg</w:t>
      </w:r>
      <w:r w:rsidR="00E03567" w:rsidRPr="00BE6FCD">
        <w:rPr>
          <w:rFonts w:ascii="Tahoma" w:hAnsi="Tahoma" w:cs="Tahoma"/>
          <w:sz w:val="20"/>
        </w:rPr>
        <w:t>ãos</w:t>
      </w:r>
      <w:r w:rsidRPr="00BE6FCD">
        <w:rPr>
          <w:rFonts w:ascii="Tahoma" w:hAnsi="Tahoma" w:cs="Tahoma"/>
          <w:sz w:val="20"/>
        </w:rPr>
        <w:t xml:space="preserve"> da gestão do RPPS.</w:t>
      </w:r>
    </w:p>
    <w:p w14:paraId="503CFEE5" w14:textId="7CF80563" w:rsidR="008202D4" w:rsidRDefault="00521366" w:rsidP="00AD12FB">
      <w:pPr>
        <w:spacing w:after="120"/>
        <w:ind w:firstLine="709"/>
        <w:rPr>
          <w:rFonts w:ascii="Tahoma" w:hAnsi="Tahoma" w:cs="Tahoma"/>
          <w:sz w:val="20"/>
        </w:rPr>
      </w:pPr>
      <w:r>
        <w:rPr>
          <w:rFonts w:ascii="Tahoma" w:hAnsi="Tahoma" w:cs="Tahoma"/>
          <w:sz w:val="20"/>
        </w:rPr>
        <w:t>Abaixo</w:t>
      </w:r>
      <w:r w:rsidR="00E03567">
        <w:rPr>
          <w:rFonts w:ascii="Tahoma" w:hAnsi="Tahoma" w:cs="Tahoma"/>
          <w:sz w:val="20"/>
        </w:rPr>
        <w:t xml:space="preserve"> está demonstrado</w:t>
      </w:r>
      <w:r>
        <w:rPr>
          <w:rFonts w:ascii="Tahoma" w:hAnsi="Tahoma" w:cs="Tahoma"/>
          <w:sz w:val="20"/>
        </w:rPr>
        <w:t xml:space="preserve"> o diagrama </w:t>
      </w:r>
      <w:r w:rsidR="00A4368B">
        <w:rPr>
          <w:rFonts w:ascii="Tahoma" w:hAnsi="Tahoma" w:cs="Tahoma"/>
          <w:sz w:val="20"/>
        </w:rPr>
        <w:t>d</w:t>
      </w:r>
      <w:r>
        <w:rPr>
          <w:rFonts w:ascii="Tahoma" w:hAnsi="Tahoma" w:cs="Tahoma"/>
          <w:sz w:val="20"/>
        </w:rPr>
        <w:t xml:space="preserve">o </w:t>
      </w:r>
      <w:r w:rsidRPr="00521366">
        <w:rPr>
          <w:rFonts w:ascii="Tahoma" w:hAnsi="Tahoma" w:cs="Tahoma"/>
          <w:b/>
          <w:bCs/>
          <w:sz w:val="20"/>
        </w:rPr>
        <w:t>Ciclo de Investimentos</w:t>
      </w:r>
      <w:r>
        <w:rPr>
          <w:rFonts w:ascii="Tahoma" w:hAnsi="Tahoma" w:cs="Tahoma"/>
          <w:sz w:val="20"/>
        </w:rPr>
        <w:t>:</w:t>
      </w:r>
    </w:p>
    <w:p w14:paraId="3C1687F9" w14:textId="06A116EB" w:rsidR="00AD12FB" w:rsidRDefault="00FE044C" w:rsidP="00AD12FB">
      <w:pPr>
        <w:spacing w:after="120"/>
        <w:rPr>
          <w:rStyle w:val="Ttulo1Char"/>
          <w:sz w:val="22"/>
        </w:rPr>
      </w:pPr>
      <w:r>
        <w:rPr>
          <w:rFonts w:ascii="Tahoma" w:hAnsi="Tahoma" w:cs="Tahoma"/>
          <w:noProof/>
          <w:sz w:val="20"/>
        </w:rPr>
        <w:lastRenderedPageBreak/>
        <w:drawing>
          <wp:inline distT="0" distB="0" distL="0" distR="0" wp14:anchorId="7A63A0D5" wp14:editId="0D54BB46">
            <wp:extent cx="5262327" cy="1968729"/>
            <wp:effectExtent l="0" t="0" r="0" b="0"/>
            <wp:docPr id="28" name="Imagem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5278054" cy="1974613"/>
                    </a:xfrm>
                    <a:prstGeom prst="rect">
                      <a:avLst/>
                    </a:prstGeom>
                    <a:noFill/>
                    <a:ln>
                      <a:noFill/>
                    </a:ln>
                  </pic:spPr>
                </pic:pic>
              </a:graphicData>
            </a:graphic>
          </wp:inline>
        </w:drawing>
      </w:r>
      <w:r w:rsidR="00AD12FB">
        <w:rPr>
          <w:rStyle w:val="Ttulo1Char"/>
          <w:sz w:val="22"/>
        </w:rPr>
        <w:br w:type="page"/>
      </w:r>
    </w:p>
    <w:bookmarkStart w:id="44" w:name="_Toc181542589"/>
    <w:p w14:paraId="7031DF8D" w14:textId="75A684C3" w:rsidR="00465C63" w:rsidRPr="00E8601E" w:rsidRDefault="00AD12FB" w:rsidP="00EC5FD6">
      <w:pPr>
        <w:spacing w:after="120"/>
        <w:jc w:val="both"/>
        <w:outlineLvl w:val="0"/>
        <w:rPr>
          <w:sz w:val="20"/>
        </w:rPr>
      </w:pPr>
      <w:r w:rsidRPr="00E4782B">
        <w:object w:dxaOrig="2425" w:dyaOrig="2598" w14:anchorId="476B2CE7">
          <v:shape id="_x0000_i1068" type="#_x0000_t75" style="width:9.75pt;height:9pt" o:ole="">
            <v:imagedata r:id="rId11" o:title=""/>
          </v:shape>
          <o:OLEObject Type="Embed" ProgID="CorelDRAW.Graphic.13" ShapeID="_x0000_i1068" DrawAspect="Content" ObjectID="_1793685941" r:id="rId70"/>
        </w:object>
      </w:r>
      <w:r w:rsidR="00465C63" w:rsidRPr="00E8601E">
        <w:rPr>
          <w:rStyle w:val="Ttulo1Char"/>
          <w:sz w:val="22"/>
        </w:rPr>
        <w:t>ESTRATÉGIA PARA ALOCAÇÃO DE RECURSOS</w:t>
      </w:r>
      <w:r w:rsidR="00465C63" w:rsidRPr="00E8601E">
        <w:rPr>
          <w:rFonts w:ascii="Tahoma" w:hAnsi="Tahoma" w:cs="Tahoma"/>
          <w:b/>
          <w:color w:val="002060"/>
          <w:szCs w:val="24"/>
        </w:rPr>
        <w:t xml:space="preserve"> </w:t>
      </w:r>
      <w:bookmarkEnd w:id="44"/>
      <w:r w:rsidR="00465C63" w:rsidRPr="00E8601E">
        <w:rPr>
          <w:sz w:val="20"/>
        </w:rPr>
        <w:object w:dxaOrig="3163" w:dyaOrig="3187" w14:anchorId="1CE2AD77">
          <v:shape id="_x0000_i1069" type="#_x0000_t75" style="width:21.75pt;height:23.25pt" o:ole="">
            <v:imagedata r:id="rId13" o:title=""/>
          </v:shape>
          <o:OLEObject Type="Embed" ProgID="CorelDRAW.Graphic.13" ShapeID="_x0000_i1069" DrawAspect="Content" ObjectID="_1793685942" r:id="rId71"/>
        </w:object>
      </w:r>
    </w:p>
    <w:p w14:paraId="445A2579" w14:textId="77777777" w:rsidR="00465C63" w:rsidRPr="00E8601E" w:rsidRDefault="00465C63" w:rsidP="00AD12FB">
      <w:pPr>
        <w:spacing w:after="120"/>
        <w:ind w:firstLine="709"/>
        <w:jc w:val="both"/>
        <w:outlineLvl w:val="2"/>
        <w:rPr>
          <w:rFonts w:ascii="Tahoma" w:hAnsi="Tahoma" w:cs="Tahoma"/>
          <w:sz w:val="20"/>
        </w:rPr>
      </w:pPr>
    </w:p>
    <w:p w14:paraId="515C7988" w14:textId="6E20B496" w:rsidR="00465C63" w:rsidRPr="00C02E24" w:rsidRDefault="00A4368B" w:rsidP="00AD12FB">
      <w:pPr>
        <w:spacing w:after="120"/>
        <w:ind w:firstLine="709"/>
        <w:jc w:val="both"/>
        <w:rPr>
          <w:rFonts w:ascii="Tahoma" w:hAnsi="Tahoma" w:cs="Tahoma"/>
          <w:sz w:val="20"/>
        </w:rPr>
      </w:pPr>
      <w:r w:rsidRPr="00C02E24">
        <w:rPr>
          <w:rFonts w:ascii="Tahoma" w:hAnsi="Tahoma" w:cs="Tahoma"/>
          <w:sz w:val="20"/>
        </w:rPr>
        <w:t>O anexo I</w:t>
      </w:r>
      <w:r w:rsidR="00465C63" w:rsidRPr="00C02E24">
        <w:rPr>
          <w:rFonts w:ascii="Tahoma" w:hAnsi="Tahoma" w:cs="Tahoma"/>
          <w:sz w:val="20"/>
        </w:rPr>
        <w:t xml:space="preserve"> apresenta a alocação-objetivo e os limites de aplicação em cada um dos segmentos definido</w:t>
      </w:r>
      <w:r w:rsidR="007F6D14" w:rsidRPr="00C02E24">
        <w:rPr>
          <w:rFonts w:ascii="Tahoma" w:hAnsi="Tahoma" w:cs="Tahoma"/>
          <w:sz w:val="20"/>
        </w:rPr>
        <w:t>s</w:t>
      </w:r>
      <w:r w:rsidR="00465C63" w:rsidRPr="00C02E24">
        <w:rPr>
          <w:rFonts w:ascii="Tahoma" w:hAnsi="Tahoma" w:cs="Tahoma"/>
          <w:sz w:val="20"/>
        </w:rPr>
        <w:t xml:space="preserve"> pela Resolução CMN</w:t>
      </w:r>
      <w:r w:rsidR="007F6D14" w:rsidRPr="00C02E24">
        <w:rPr>
          <w:rFonts w:ascii="Tahoma" w:hAnsi="Tahoma" w:cs="Tahoma"/>
          <w:sz w:val="20"/>
        </w:rPr>
        <w:t xml:space="preserve"> nº</w:t>
      </w:r>
      <w:r w:rsidR="00465C63" w:rsidRPr="00C02E24">
        <w:rPr>
          <w:rFonts w:ascii="Tahoma" w:hAnsi="Tahoma" w:cs="Tahoma"/>
          <w:sz w:val="20"/>
        </w:rPr>
        <w:t xml:space="preserve"> </w:t>
      </w:r>
      <w:r w:rsidR="009134DA" w:rsidRPr="00C02E24">
        <w:rPr>
          <w:rFonts w:ascii="Tahoma" w:hAnsi="Tahoma" w:cs="Tahoma"/>
          <w:sz w:val="20"/>
        </w:rPr>
        <w:t>4.963/2021</w:t>
      </w:r>
      <w:r w:rsidR="00465C63" w:rsidRPr="00C02E24">
        <w:rPr>
          <w:rFonts w:ascii="Tahoma" w:hAnsi="Tahoma" w:cs="Tahoma"/>
          <w:sz w:val="20"/>
        </w:rPr>
        <w:t>. Essa alocação tem como intuito determinar a alocação estratégica a ser perseguida ao longo do exercício desta Pol</w:t>
      </w:r>
      <w:r w:rsidR="00EB5A51" w:rsidRPr="00C02E24">
        <w:rPr>
          <w:rFonts w:ascii="Tahoma" w:hAnsi="Tahoma" w:cs="Tahoma"/>
          <w:sz w:val="20"/>
        </w:rPr>
        <w:t>í</w:t>
      </w:r>
      <w:r w:rsidR="00465C63" w:rsidRPr="00C02E24">
        <w:rPr>
          <w:rFonts w:ascii="Tahoma" w:hAnsi="Tahoma" w:cs="Tahoma"/>
          <w:sz w:val="20"/>
        </w:rPr>
        <w:t>tica de Investimento</w:t>
      </w:r>
      <w:r w:rsidR="007F6D14" w:rsidRPr="00C02E24">
        <w:rPr>
          <w:rFonts w:ascii="Tahoma" w:hAnsi="Tahoma" w:cs="Tahoma"/>
          <w:sz w:val="20"/>
        </w:rPr>
        <w:t>s</w:t>
      </w:r>
      <w:r w:rsidR="00465C63" w:rsidRPr="00C02E24">
        <w:rPr>
          <w:rFonts w:ascii="Tahoma" w:hAnsi="Tahoma" w:cs="Tahoma"/>
          <w:sz w:val="20"/>
        </w:rPr>
        <w:t xml:space="preserve"> que melhor reflita as necessidades do passivo. </w:t>
      </w:r>
    </w:p>
    <w:p w14:paraId="63AF49CB" w14:textId="6580209B" w:rsidR="00465C63" w:rsidRPr="00C02E24" w:rsidRDefault="00465C63" w:rsidP="00AD12FB">
      <w:pPr>
        <w:spacing w:after="120"/>
        <w:ind w:firstLine="709"/>
        <w:jc w:val="both"/>
        <w:rPr>
          <w:rFonts w:ascii="Tahoma" w:hAnsi="Tahoma" w:cs="Tahoma"/>
          <w:sz w:val="20"/>
        </w:rPr>
      </w:pPr>
      <w:r w:rsidRPr="00C02E24">
        <w:rPr>
          <w:rFonts w:ascii="Tahoma" w:hAnsi="Tahoma" w:cs="Tahoma"/>
          <w:sz w:val="20"/>
        </w:rPr>
        <w:t xml:space="preserve">O </w:t>
      </w:r>
      <w:r w:rsidR="002670EA" w:rsidRPr="00C02E24">
        <w:rPr>
          <w:rFonts w:ascii="Tahoma" w:hAnsi="Tahoma" w:cs="Tahoma"/>
          <w:b/>
          <w:noProof/>
          <w:sz w:val="20"/>
        </w:rPr>
        <w:fldChar w:fldCharType="begin"/>
      </w:r>
      <w:r w:rsidR="002670EA" w:rsidRPr="00C02E24">
        <w:rPr>
          <w:rFonts w:ascii="Tahoma" w:hAnsi="Tahoma" w:cs="Tahoma"/>
          <w:b/>
          <w:noProof/>
          <w:sz w:val="20"/>
        </w:rPr>
        <w:instrText xml:space="preserve"> MERGEFIELD NOME_DO_FUNDO </w:instrText>
      </w:r>
      <w:r w:rsidR="002670EA" w:rsidRPr="00C02E24">
        <w:rPr>
          <w:rFonts w:ascii="Tahoma" w:hAnsi="Tahoma" w:cs="Tahoma"/>
          <w:b/>
          <w:noProof/>
          <w:sz w:val="20"/>
        </w:rPr>
        <w:fldChar w:fldCharType="separate"/>
      </w:r>
      <w:r w:rsidR="00A14265" w:rsidRPr="00BC514D">
        <w:rPr>
          <w:rFonts w:ascii="Tahoma" w:hAnsi="Tahoma" w:cs="Tahoma"/>
          <w:b/>
          <w:noProof/>
          <w:sz w:val="20"/>
        </w:rPr>
        <w:t>FUNDO DE ASSISTÊNCIA E PREVIDÊNCIA DOS SERVIDORES ESTATUTÁRIOS DO MUNICÍPIO DE TRIUNFO – FAPETRI</w:t>
      </w:r>
      <w:r w:rsidR="002670EA" w:rsidRPr="00C02E24">
        <w:rPr>
          <w:rFonts w:ascii="Tahoma" w:hAnsi="Tahoma" w:cs="Tahoma"/>
          <w:b/>
          <w:noProof/>
          <w:sz w:val="20"/>
        </w:rPr>
        <w:fldChar w:fldCharType="end"/>
      </w:r>
      <w:r w:rsidRPr="00C02E24">
        <w:rPr>
          <w:rFonts w:ascii="Tahoma" w:hAnsi="Tahoma" w:cs="Tahoma"/>
          <w:b/>
          <w:sz w:val="20"/>
        </w:rPr>
        <w:t xml:space="preserve"> </w:t>
      </w:r>
      <w:r w:rsidRPr="00B46C29">
        <w:rPr>
          <w:rFonts w:ascii="Tahoma" w:hAnsi="Tahoma" w:cs="Tahoma"/>
          <w:sz w:val="20"/>
        </w:rPr>
        <w:t xml:space="preserve">estará seguindo as determinações e obrigatoriedades </w:t>
      </w:r>
      <w:r w:rsidR="00750C64" w:rsidRPr="00B46C29">
        <w:rPr>
          <w:rFonts w:ascii="Tahoma" w:hAnsi="Tahoma" w:cs="Tahoma"/>
          <w:sz w:val="20"/>
        </w:rPr>
        <w:t xml:space="preserve">do artigo </w:t>
      </w:r>
      <w:r w:rsidR="00BE6FCD" w:rsidRPr="00B46C29">
        <w:rPr>
          <w:rFonts w:ascii="Tahoma" w:hAnsi="Tahoma" w:cs="Tahoma"/>
          <w:sz w:val="20"/>
        </w:rPr>
        <w:t>137</w:t>
      </w:r>
      <w:r w:rsidR="00750C64" w:rsidRPr="00B46C29">
        <w:rPr>
          <w:rFonts w:ascii="Tahoma" w:hAnsi="Tahoma" w:cs="Tahoma"/>
          <w:sz w:val="20"/>
        </w:rPr>
        <w:t xml:space="preserve"> da </w:t>
      </w:r>
      <w:r w:rsidR="00AC1722" w:rsidRPr="00B46C29">
        <w:rPr>
          <w:rFonts w:ascii="Tahoma" w:hAnsi="Tahoma" w:cs="Tahoma"/>
          <w:sz w:val="20"/>
        </w:rPr>
        <w:t>Portaria MTP</w:t>
      </w:r>
      <w:r w:rsidR="007F6D14" w:rsidRPr="00B46C29">
        <w:rPr>
          <w:rFonts w:ascii="Tahoma" w:hAnsi="Tahoma" w:cs="Tahoma"/>
          <w:sz w:val="20"/>
        </w:rPr>
        <w:t xml:space="preserve"> nº</w:t>
      </w:r>
      <w:r w:rsidR="00AC1722" w:rsidRPr="00B46C29">
        <w:rPr>
          <w:rFonts w:ascii="Tahoma" w:hAnsi="Tahoma" w:cs="Tahoma"/>
          <w:sz w:val="20"/>
        </w:rPr>
        <w:t xml:space="preserve"> 1.467/2022,</w:t>
      </w:r>
      <w:r w:rsidRPr="00B46C29">
        <w:rPr>
          <w:rFonts w:ascii="Tahoma" w:hAnsi="Tahoma" w:cs="Tahoma"/>
          <w:sz w:val="20"/>
        </w:rPr>
        <w:t xml:space="preserve"> onde</w:t>
      </w:r>
      <w:r w:rsidR="007F6D14" w:rsidRPr="00B46C29">
        <w:rPr>
          <w:rFonts w:ascii="Tahoma" w:hAnsi="Tahoma" w:cs="Tahoma"/>
          <w:sz w:val="20"/>
        </w:rPr>
        <w:t xml:space="preserve"> o</w:t>
      </w:r>
      <w:r w:rsidRPr="00B46C29">
        <w:rPr>
          <w:rFonts w:ascii="Tahoma" w:hAnsi="Tahoma" w:cs="Tahoma"/>
          <w:sz w:val="20"/>
        </w:rPr>
        <w:t xml:space="preserve"> Ministério da Previdência Social (MPS) </w:t>
      </w:r>
      <w:r w:rsidR="007E77FF" w:rsidRPr="00B46C29">
        <w:rPr>
          <w:rFonts w:ascii="Tahoma" w:hAnsi="Tahoma" w:cs="Tahoma"/>
          <w:sz w:val="20"/>
        </w:rPr>
        <w:t>determinou</w:t>
      </w:r>
      <w:r w:rsidRPr="00B46C29">
        <w:rPr>
          <w:rFonts w:ascii="Tahoma" w:hAnsi="Tahoma" w:cs="Tahoma"/>
          <w:sz w:val="20"/>
        </w:rPr>
        <w:t xml:space="preserve"> r</w:t>
      </w:r>
      <w:r w:rsidR="007E77FF" w:rsidRPr="00B46C29">
        <w:rPr>
          <w:rFonts w:ascii="Tahoma" w:hAnsi="Tahoma" w:cs="Tahoma"/>
          <w:sz w:val="20"/>
        </w:rPr>
        <w:t>equisitos</w:t>
      </w:r>
      <w:r w:rsidRPr="00C02E24">
        <w:rPr>
          <w:rFonts w:ascii="Tahoma" w:hAnsi="Tahoma" w:cs="Tahoma"/>
          <w:sz w:val="20"/>
        </w:rPr>
        <w:t xml:space="preserve"> para classificar os Regimes Próprios de Previdência Social (RPPS) em que tipo de investidor se enquadra, o RPPS do </w:t>
      </w:r>
      <w:r w:rsidR="002670EA" w:rsidRPr="00C02E24">
        <w:rPr>
          <w:rFonts w:ascii="Tahoma" w:hAnsi="Tahoma" w:cs="Tahoma"/>
          <w:b/>
          <w:bCs/>
          <w:noProof/>
          <w:sz w:val="20"/>
        </w:rPr>
        <w:fldChar w:fldCharType="begin"/>
      </w:r>
      <w:r w:rsidR="002670EA" w:rsidRPr="00C02E24">
        <w:rPr>
          <w:rFonts w:ascii="Tahoma" w:hAnsi="Tahoma" w:cs="Tahoma"/>
          <w:b/>
          <w:bCs/>
          <w:noProof/>
          <w:sz w:val="20"/>
        </w:rPr>
        <w:instrText xml:space="preserve"> MERGEFIELD RPPS </w:instrText>
      </w:r>
      <w:r w:rsidR="002670EA" w:rsidRPr="00C02E24">
        <w:rPr>
          <w:rFonts w:ascii="Tahoma" w:hAnsi="Tahoma" w:cs="Tahoma"/>
          <w:b/>
          <w:bCs/>
          <w:noProof/>
          <w:sz w:val="20"/>
        </w:rPr>
        <w:fldChar w:fldCharType="separate"/>
      </w:r>
      <w:r w:rsidR="00A14265" w:rsidRPr="00BC514D">
        <w:rPr>
          <w:rFonts w:ascii="Tahoma" w:hAnsi="Tahoma" w:cs="Tahoma"/>
          <w:b/>
          <w:bCs/>
          <w:noProof/>
          <w:sz w:val="20"/>
        </w:rPr>
        <w:t>MUNICÍPIO DE TRIUNFO</w:t>
      </w:r>
      <w:r w:rsidR="002670EA" w:rsidRPr="00C02E24">
        <w:rPr>
          <w:rFonts w:ascii="Tahoma" w:hAnsi="Tahoma" w:cs="Tahoma"/>
          <w:b/>
          <w:bCs/>
          <w:noProof/>
          <w:sz w:val="20"/>
        </w:rPr>
        <w:fldChar w:fldCharType="end"/>
      </w:r>
      <w:r w:rsidR="00F12C50" w:rsidRPr="00C02E24">
        <w:rPr>
          <w:rFonts w:ascii="Tahoma" w:hAnsi="Tahoma" w:cs="Tahoma"/>
          <w:sz w:val="20"/>
        </w:rPr>
        <w:t xml:space="preserve"> </w:t>
      </w:r>
      <w:r w:rsidRPr="00C02E24">
        <w:rPr>
          <w:rFonts w:ascii="Tahoma" w:hAnsi="Tahoma" w:cs="Tahoma"/>
          <w:sz w:val="20"/>
        </w:rPr>
        <w:t xml:space="preserve">se enquadra como </w:t>
      </w:r>
      <w:r w:rsidR="002D02EA" w:rsidRPr="00C02E24">
        <w:rPr>
          <w:rFonts w:ascii="Tahoma" w:hAnsi="Tahoma" w:cs="Tahoma"/>
          <w:b/>
          <w:bCs/>
          <w:noProof/>
          <w:sz w:val="20"/>
        </w:rPr>
        <w:fldChar w:fldCharType="begin"/>
      </w:r>
      <w:r w:rsidR="002D02EA" w:rsidRPr="00C02E24">
        <w:rPr>
          <w:rFonts w:ascii="Tahoma" w:hAnsi="Tahoma" w:cs="Tahoma"/>
          <w:b/>
          <w:bCs/>
          <w:noProof/>
          <w:sz w:val="20"/>
        </w:rPr>
        <w:instrText xml:space="preserve"> MERGEFIELD TIPO_INVESTIDOR </w:instrText>
      </w:r>
      <w:r w:rsidR="002D02EA" w:rsidRPr="00C02E24">
        <w:rPr>
          <w:rFonts w:ascii="Tahoma" w:hAnsi="Tahoma" w:cs="Tahoma"/>
          <w:b/>
          <w:bCs/>
          <w:noProof/>
          <w:sz w:val="20"/>
        </w:rPr>
        <w:fldChar w:fldCharType="separate"/>
      </w:r>
      <w:r w:rsidR="00A14265" w:rsidRPr="00BC514D">
        <w:rPr>
          <w:rFonts w:ascii="Tahoma" w:hAnsi="Tahoma" w:cs="Tahoma"/>
          <w:b/>
          <w:bCs/>
          <w:noProof/>
          <w:sz w:val="20"/>
        </w:rPr>
        <w:t>Investidor Geral</w:t>
      </w:r>
      <w:r w:rsidR="002D02EA" w:rsidRPr="00C02E24">
        <w:rPr>
          <w:rFonts w:ascii="Tahoma" w:hAnsi="Tahoma" w:cs="Tahoma"/>
          <w:b/>
          <w:bCs/>
          <w:noProof/>
          <w:sz w:val="20"/>
        </w:rPr>
        <w:fldChar w:fldCharType="end"/>
      </w:r>
      <w:r w:rsidRPr="00C02E24">
        <w:rPr>
          <w:rFonts w:ascii="Tahoma" w:hAnsi="Tahoma" w:cs="Tahoma"/>
          <w:sz w:val="20"/>
        </w:rPr>
        <w:t>.</w:t>
      </w:r>
      <w:r w:rsidR="00750C64" w:rsidRPr="00C02E24">
        <w:rPr>
          <w:rFonts w:ascii="Tahoma" w:hAnsi="Tahoma" w:cs="Tahoma"/>
          <w:sz w:val="20"/>
        </w:rPr>
        <w:t xml:space="preserve"> Ainda, o RPPS seguirá as orientações do seu </w:t>
      </w:r>
      <w:r w:rsidR="007F6D14" w:rsidRPr="00C02E24">
        <w:rPr>
          <w:rFonts w:ascii="Tahoma" w:hAnsi="Tahoma" w:cs="Tahoma"/>
          <w:sz w:val="20"/>
        </w:rPr>
        <w:t>T</w:t>
      </w:r>
      <w:r w:rsidR="00750C64" w:rsidRPr="00C02E24">
        <w:rPr>
          <w:rFonts w:ascii="Tahoma" w:hAnsi="Tahoma" w:cs="Tahoma"/>
          <w:sz w:val="20"/>
        </w:rPr>
        <w:t xml:space="preserve">ribunal de </w:t>
      </w:r>
      <w:r w:rsidR="007F6D14" w:rsidRPr="00C02E24">
        <w:rPr>
          <w:rFonts w:ascii="Tahoma" w:hAnsi="Tahoma" w:cs="Tahoma"/>
          <w:sz w:val="20"/>
        </w:rPr>
        <w:t>C</w:t>
      </w:r>
      <w:r w:rsidR="00750C64" w:rsidRPr="00C02E24">
        <w:rPr>
          <w:rFonts w:ascii="Tahoma" w:hAnsi="Tahoma" w:cs="Tahoma"/>
          <w:sz w:val="20"/>
        </w:rPr>
        <w:t>ontas no momento das alocações e futuras alocações.</w:t>
      </w:r>
    </w:p>
    <w:p w14:paraId="56AEE675" w14:textId="5C0E8832" w:rsidR="00465C63" w:rsidRPr="00C02E24" w:rsidRDefault="00465C63" w:rsidP="00AD12FB">
      <w:pPr>
        <w:spacing w:after="120"/>
        <w:ind w:firstLine="709"/>
        <w:jc w:val="both"/>
        <w:rPr>
          <w:rFonts w:ascii="Tahoma" w:hAnsi="Tahoma" w:cs="Tahoma"/>
          <w:sz w:val="20"/>
        </w:rPr>
      </w:pPr>
      <w:r w:rsidRPr="00C02E24">
        <w:rPr>
          <w:rFonts w:ascii="Tahoma" w:hAnsi="Tahoma" w:cs="Tahoma"/>
          <w:sz w:val="20"/>
        </w:rPr>
        <w:t xml:space="preserve">Com essa </w:t>
      </w:r>
      <w:r w:rsidR="00A4368B" w:rsidRPr="00C02E24">
        <w:rPr>
          <w:rFonts w:ascii="Tahoma" w:hAnsi="Tahoma" w:cs="Tahoma"/>
          <w:sz w:val="20"/>
        </w:rPr>
        <w:t>estratégia alvo</w:t>
      </w:r>
      <w:r w:rsidRPr="00C02E24">
        <w:rPr>
          <w:rFonts w:ascii="Tahoma" w:hAnsi="Tahoma" w:cs="Tahoma"/>
          <w:sz w:val="20"/>
        </w:rPr>
        <w:t xml:space="preserve"> o </w:t>
      </w:r>
      <w:r w:rsidR="002D02EA" w:rsidRPr="00C02E24">
        <w:rPr>
          <w:rFonts w:ascii="Tahoma" w:hAnsi="Tahoma" w:cs="Tahoma"/>
          <w:b/>
          <w:noProof/>
          <w:sz w:val="20"/>
        </w:rPr>
        <w:fldChar w:fldCharType="begin"/>
      </w:r>
      <w:r w:rsidR="002D02EA" w:rsidRPr="00C02E24">
        <w:rPr>
          <w:rFonts w:ascii="Tahoma" w:hAnsi="Tahoma" w:cs="Tahoma"/>
          <w:b/>
          <w:noProof/>
          <w:sz w:val="20"/>
        </w:rPr>
        <w:instrText xml:space="preserve"> MERGEFIELD NOME_DO_FUNDO </w:instrText>
      </w:r>
      <w:r w:rsidR="002D02EA" w:rsidRPr="00C02E24">
        <w:rPr>
          <w:rFonts w:ascii="Tahoma" w:hAnsi="Tahoma" w:cs="Tahoma"/>
          <w:b/>
          <w:noProof/>
          <w:sz w:val="20"/>
        </w:rPr>
        <w:fldChar w:fldCharType="separate"/>
      </w:r>
      <w:r w:rsidR="00A14265" w:rsidRPr="00BC514D">
        <w:rPr>
          <w:rFonts w:ascii="Tahoma" w:hAnsi="Tahoma" w:cs="Tahoma"/>
          <w:b/>
          <w:noProof/>
          <w:sz w:val="20"/>
        </w:rPr>
        <w:t>FUNDO DE ASSISTÊNCIA E PREVIDÊNCIA DOS SERVIDORES ESTATUTÁRIOS DO MUNICÍPIO DE TRIUNFO – FAPETRI</w:t>
      </w:r>
      <w:r w:rsidR="002D02EA" w:rsidRPr="00C02E24">
        <w:rPr>
          <w:rFonts w:ascii="Tahoma" w:hAnsi="Tahoma" w:cs="Tahoma"/>
          <w:b/>
          <w:noProof/>
          <w:sz w:val="20"/>
        </w:rPr>
        <w:fldChar w:fldCharType="end"/>
      </w:r>
      <w:r w:rsidRPr="00C02E24">
        <w:rPr>
          <w:rFonts w:ascii="Tahoma" w:hAnsi="Tahoma" w:cs="Tahoma"/>
          <w:b/>
          <w:noProof/>
          <w:sz w:val="20"/>
        </w:rPr>
        <w:t xml:space="preserve"> </w:t>
      </w:r>
      <w:r w:rsidRPr="00C02E24">
        <w:rPr>
          <w:rFonts w:ascii="Tahoma" w:hAnsi="Tahoma" w:cs="Tahoma"/>
          <w:sz w:val="20"/>
        </w:rPr>
        <w:t>tem o intuito de buscar a melhor rentabilidade com menos volatilidade. Como já mencionado no cenário econômico</w:t>
      </w:r>
      <w:r w:rsidR="008C0910" w:rsidRPr="00C02E24">
        <w:rPr>
          <w:rFonts w:ascii="Tahoma" w:hAnsi="Tahoma" w:cs="Tahoma"/>
          <w:sz w:val="20"/>
        </w:rPr>
        <w:t>,</w:t>
      </w:r>
      <w:r w:rsidRPr="00C02E24">
        <w:rPr>
          <w:rFonts w:ascii="Tahoma" w:hAnsi="Tahoma" w:cs="Tahoma"/>
          <w:sz w:val="20"/>
        </w:rPr>
        <w:t xml:space="preserve"> acredita-se que </w:t>
      </w:r>
      <w:r w:rsidR="00E23CC0" w:rsidRPr="00C02E24">
        <w:rPr>
          <w:rFonts w:ascii="Tahoma" w:hAnsi="Tahoma" w:cs="Tahoma"/>
          <w:sz w:val="20"/>
        </w:rPr>
        <w:t>o ano de 202</w:t>
      </w:r>
      <w:r w:rsidR="00B46C29">
        <w:rPr>
          <w:rFonts w:ascii="Tahoma" w:hAnsi="Tahoma" w:cs="Tahoma"/>
          <w:sz w:val="20"/>
        </w:rPr>
        <w:t>5</w:t>
      </w:r>
      <w:r w:rsidR="00E23CC0" w:rsidRPr="00C02E24">
        <w:rPr>
          <w:rFonts w:ascii="Tahoma" w:hAnsi="Tahoma" w:cs="Tahoma"/>
          <w:sz w:val="20"/>
        </w:rPr>
        <w:t xml:space="preserve"> será cheio de desafios</w:t>
      </w:r>
      <w:r w:rsidR="008C0910" w:rsidRPr="00C02E24">
        <w:rPr>
          <w:rFonts w:ascii="Tahoma" w:hAnsi="Tahoma" w:cs="Tahoma"/>
          <w:sz w:val="20"/>
        </w:rPr>
        <w:t>,</w:t>
      </w:r>
      <w:r w:rsidRPr="00C02E24">
        <w:rPr>
          <w:rFonts w:ascii="Tahoma" w:hAnsi="Tahoma" w:cs="Tahoma"/>
          <w:sz w:val="20"/>
        </w:rPr>
        <w:t xml:space="preserve"> </w:t>
      </w:r>
      <w:r w:rsidR="00E23CC0" w:rsidRPr="00C02E24">
        <w:rPr>
          <w:rFonts w:ascii="Tahoma" w:hAnsi="Tahoma" w:cs="Tahoma"/>
          <w:sz w:val="20"/>
        </w:rPr>
        <w:t>assim</w:t>
      </w:r>
      <w:r w:rsidR="008C0910" w:rsidRPr="00C02E24">
        <w:rPr>
          <w:rFonts w:ascii="Tahoma" w:hAnsi="Tahoma" w:cs="Tahoma"/>
          <w:sz w:val="20"/>
        </w:rPr>
        <w:t>,</w:t>
      </w:r>
      <w:r w:rsidR="00E23CC0" w:rsidRPr="00C02E24">
        <w:rPr>
          <w:rFonts w:ascii="Tahoma" w:hAnsi="Tahoma" w:cs="Tahoma"/>
          <w:sz w:val="20"/>
        </w:rPr>
        <w:t xml:space="preserve"> </w:t>
      </w:r>
      <w:r w:rsidRPr="00C02E24">
        <w:rPr>
          <w:rFonts w:ascii="Tahoma" w:hAnsi="Tahoma" w:cs="Tahoma"/>
          <w:sz w:val="20"/>
        </w:rPr>
        <w:t>novas alternativas de investimentos</w:t>
      </w:r>
      <w:r w:rsidR="00E23CC0" w:rsidRPr="00C02E24">
        <w:rPr>
          <w:rFonts w:ascii="Tahoma" w:hAnsi="Tahoma" w:cs="Tahoma"/>
          <w:sz w:val="20"/>
        </w:rPr>
        <w:t xml:space="preserve"> pode</w:t>
      </w:r>
      <w:r w:rsidR="00A4368B" w:rsidRPr="00C02E24">
        <w:rPr>
          <w:rFonts w:ascii="Tahoma" w:hAnsi="Tahoma" w:cs="Tahoma"/>
          <w:sz w:val="20"/>
        </w:rPr>
        <w:t>rão</w:t>
      </w:r>
      <w:r w:rsidR="00E23CC0" w:rsidRPr="00C02E24">
        <w:rPr>
          <w:rFonts w:ascii="Tahoma" w:hAnsi="Tahoma" w:cs="Tahoma"/>
          <w:sz w:val="20"/>
        </w:rPr>
        <w:t xml:space="preserve"> </w:t>
      </w:r>
      <w:r w:rsidR="00A4368B" w:rsidRPr="00C02E24">
        <w:rPr>
          <w:rFonts w:ascii="Tahoma" w:hAnsi="Tahoma" w:cs="Tahoma"/>
          <w:sz w:val="20"/>
        </w:rPr>
        <w:t>surgir</w:t>
      </w:r>
      <w:r w:rsidRPr="00C02E24">
        <w:rPr>
          <w:rFonts w:ascii="Tahoma" w:hAnsi="Tahoma" w:cs="Tahoma"/>
          <w:sz w:val="20"/>
        </w:rPr>
        <w:t>,</w:t>
      </w:r>
      <w:r w:rsidR="00A4368B" w:rsidRPr="00C02E24">
        <w:rPr>
          <w:rFonts w:ascii="Tahoma" w:hAnsi="Tahoma" w:cs="Tahoma"/>
          <w:sz w:val="20"/>
        </w:rPr>
        <w:t xml:space="preserve"> ou seja, alternativas</w:t>
      </w:r>
      <w:r w:rsidRPr="00C02E24">
        <w:rPr>
          <w:rFonts w:ascii="Tahoma" w:hAnsi="Tahoma" w:cs="Tahoma"/>
          <w:sz w:val="20"/>
        </w:rPr>
        <w:t xml:space="preserve"> que não estão contempladas na estratégia alvo e, neste caso, serão devidamente analisadas e havendo decisão pelo investimento, caso não esteja previsto no limite superior, será necessário alterar </w:t>
      </w:r>
      <w:r w:rsidR="00A4368B" w:rsidRPr="00C02E24">
        <w:rPr>
          <w:rFonts w:ascii="Tahoma" w:hAnsi="Tahoma" w:cs="Tahoma"/>
          <w:sz w:val="20"/>
        </w:rPr>
        <w:t>a presente</w:t>
      </w:r>
      <w:r w:rsidRPr="00C02E24">
        <w:rPr>
          <w:rFonts w:ascii="Tahoma" w:hAnsi="Tahoma" w:cs="Tahoma"/>
          <w:sz w:val="20"/>
        </w:rPr>
        <w:t xml:space="preserve"> pol</w:t>
      </w:r>
      <w:r w:rsidR="00EB5A51" w:rsidRPr="00C02E24">
        <w:rPr>
          <w:rFonts w:ascii="Tahoma" w:hAnsi="Tahoma" w:cs="Tahoma"/>
          <w:sz w:val="20"/>
        </w:rPr>
        <w:t>í</w:t>
      </w:r>
      <w:r w:rsidRPr="00C02E24">
        <w:rPr>
          <w:rFonts w:ascii="Tahoma" w:hAnsi="Tahoma" w:cs="Tahoma"/>
          <w:sz w:val="20"/>
        </w:rPr>
        <w:t>tica de investimento</w:t>
      </w:r>
      <w:r w:rsidR="008C0910" w:rsidRPr="00C02E24">
        <w:rPr>
          <w:rFonts w:ascii="Tahoma" w:hAnsi="Tahoma" w:cs="Tahoma"/>
          <w:sz w:val="20"/>
        </w:rPr>
        <w:t>s</w:t>
      </w:r>
      <w:r w:rsidRPr="00C02E24">
        <w:rPr>
          <w:rFonts w:ascii="Tahoma" w:hAnsi="Tahoma" w:cs="Tahoma"/>
          <w:sz w:val="20"/>
        </w:rPr>
        <w:t xml:space="preserve">, conforme previsão </w:t>
      </w:r>
      <w:r w:rsidR="00A4368B" w:rsidRPr="00C02E24">
        <w:rPr>
          <w:rFonts w:ascii="Tahoma" w:hAnsi="Tahoma" w:cs="Tahoma"/>
          <w:sz w:val="20"/>
        </w:rPr>
        <w:t xml:space="preserve">legal </w:t>
      </w:r>
      <w:r w:rsidRPr="00C02E24">
        <w:rPr>
          <w:rFonts w:ascii="Tahoma" w:hAnsi="Tahoma" w:cs="Tahoma"/>
          <w:sz w:val="20"/>
        </w:rPr>
        <w:t>vigente.</w:t>
      </w:r>
    </w:p>
    <w:p w14:paraId="0ECBFE0F" w14:textId="2E1C20F3" w:rsidR="00465C63" w:rsidRDefault="00465C63" w:rsidP="00AD12FB">
      <w:pPr>
        <w:spacing w:after="120"/>
        <w:ind w:firstLine="709"/>
        <w:jc w:val="both"/>
        <w:rPr>
          <w:rFonts w:ascii="Tahoma" w:hAnsi="Tahoma" w:cs="Tahoma"/>
          <w:sz w:val="20"/>
        </w:rPr>
      </w:pPr>
      <w:r w:rsidRPr="00C02E24">
        <w:rPr>
          <w:rFonts w:ascii="Tahoma" w:hAnsi="Tahoma" w:cs="Tahoma"/>
          <w:sz w:val="20"/>
        </w:rPr>
        <w:t xml:space="preserve">Em resumo, os investimentos do </w:t>
      </w:r>
      <w:r w:rsidR="002D02EA" w:rsidRPr="00C02E24">
        <w:rPr>
          <w:rFonts w:ascii="Tahoma" w:hAnsi="Tahoma" w:cs="Tahoma"/>
          <w:b/>
          <w:noProof/>
          <w:sz w:val="20"/>
        </w:rPr>
        <w:fldChar w:fldCharType="begin"/>
      </w:r>
      <w:r w:rsidR="002D02EA" w:rsidRPr="00C02E24">
        <w:rPr>
          <w:rFonts w:ascii="Tahoma" w:hAnsi="Tahoma" w:cs="Tahoma"/>
          <w:b/>
          <w:noProof/>
          <w:sz w:val="20"/>
        </w:rPr>
        <w:instrText xml:space="preserve"> MERGEFIELD NOME_DO_FUNDO </w:instrText>
      </w:r>
      <w:r w:rsidR="002D02EA" w:rsidRPr="00C02E24">
        <w:rPr>
          <w:rFonts w:ascii="Tahoma" w:hAnsi="Tahoma" w:cs="Tahoma"/>
          <w:b/>
          <w:noProof/>
          <w:sz w:val="20"/>
        </w:rPr>
        <w:fldChar w:fldCharType="separate"/>
      </w:r>
      <w:r w:rsidR="00A14265" w:rsidRPr="00BC514D">
        <w:rPr>
          <w:rFonts w:ascii="Tahoma" w:hAnsi="Tahoma" w:cs="Tahoma"/>
          <w:b/>
          <w:noProof/>
          <w:sz w:val="20"/>
        </w:rPr>
        <w:t>FUNDO DE ASSISTÊNCIA E PREVIDÊNCIA DOS SERVIDORES ESTATUTÁRIOS DO MUNICÍPIO DE TRIUNFO – FAPETRI</w:t>
      </w:r>
      <w:r w:rsidR="002D02EA" w:rsidRPr="00C02E24">
        <w:rPr>
          <w:rFonts w:ascii="Tahoma" w:hAnsi="Tahoma" w:cs="Tahoma"/>
          <w:b/>
          <w:noProof/>
          <w:sz w:val="20"/>
        </w:rPr>
        <w:fldChar w:fldCharType="end"/>
      </w:r>
      <w:r w:rsidRPr="00C02E24">
        <w:rPr>
          <w:rFonts w:ascii="Tahoma" w:hAnsi="Tahoma" w:cs="Tahoma"/>
          <w:sz w:val="20"/>
        </w:rPr>
        <w:t xml:space="preserve"> em 202</w:t>
      </w:r>
      <w:r w:rsidR="00E16EDA" w:rsidRPr="00C02E24">
        <w:rPr>
          <w:rFonts w:ascii="Tahoma" w:hAnsi="Tahoma" w:cs="Tahoma"/>
          <w:sz w:val="20"/>
        </w:rPr>
        <w:t>5</w:t>
      </w:r>
      <w:r w:rsidRPr="00C02E24">
        <w:rPr>
          <w:rFonts w:ascii="Tahoma" w:hAnsi="Tahoma" w:cs="Tahoma"/>
          <w:sz w:val="20"/>
        </w:rPr>
        <w:t>, seguirão a distribuição</w:t>
      </w:r>
      <w:r w:rsidR="004C3531" w:rsidRPr="00C02E24">
        <w:rPr>
          <w:rFonts w:ascii="Tahoma" w:hAnsi="Tahoma" w:cs="Tahoma"/>
          <w:sz w:val="20"/>
        </w:rPr>
        <w:t xml:space="preserve"> conforme tabela em anexo a este documento.</w:t>
      </w:r>
    </w:p>
    <w:p w14:paraId="0803026E" w14:textId="4C58B3A6" w:rsidR="00465C63" w:rsidRDefault="00465C63" w:rsidP="00AD12FB">
      <w:pPr>
        <w:spacing w:after="120"/>
        <w:ind w:firstLine="709"/>
        <w:rPr>
          <w:rStyle w:val="SubttuloChar"/>
          <w:sz w:val="20"/>
        </w:rPr>
      </w:pPr>
      <w:r w:rsidRPr="00E8601E">
        <w:rPr>
          <w:rStyle w:val="SubttuloChar"/>
          <w:sz w:val="20"/>
        </w:rPr>
        <w:br w:type="page"/>
      </w:r>
    </w:p>
    <w:bookmarkStart w:id="45" w:name="_Toc181542590"/>
    <w:p w14:paraId="7680E311" w14:textId="5E6F5D2A" w:rsidR="00465C63" w:rsidRPr="00E8601E" w:rsidRDefault="00AD12FB" w:rsidP="000C021C">
      <w:pPr>
        <w:pStyle w:val="Ttulo1"/>
        <w:rPr>
          <w:sz w:val="20"/>
        </w:rPr>
      </w:pPr>
      <w:r w:rsidRPr="00E4782B">
        <w:object w:dxaOrig="2425" w:dyaOrig="2598" w14:anchorId="4C3D1585">
          <v:shape id="_x0000_i1070" type="#_x0000_t75" style="width:9.75pt;height:9pt" o:ole="">
            <v:imagedata r:id="rId11" o:title=""/>
          </v:shape>
          <o:OLEObject Type="Embed" ProgID="CorelDRAW.Graphic.13" ShapeID="_x0000_i1070" DrawAspect="Content" ObjectID="_1793685943" r:id="rId72"/>
        </w:object>
      </w:r>
      <w:r w:rsidR="00465C63" w:rsidRPr="000C021C">
        <w:rPr>
          <w:rStyle w:val="Ttulo1Char"/>
          <w:b/>
          <w:bCs/>
          <w:sz w:val="22"/>
        </w:rPr>
        <w:t>VEDAÇÕES</w:t>
      </w:r>
      <w:r w:rsidR="00465C63" w:rsidRPr="00E8601E">
        <w:rPr>
          <w:sz w:val="20"/>
        </w:rPr>
        <w:t xml:space="preserve"> </w:t>
      </w:r>
      <w:bookmarkEnd w:id="45"/>
      <w:r w:rsidR="00465C63" w:rsidRPr="00E8601E">
        <w:rPr>
          <w:sz w:val="20"/>
        </w:rPr>
        <w:object w:dxaOrig="3163" w:dyaOrig="3187" w14:anchorId="3CD1CB57">
          <v:shape id="_x0000_i1071" type="#_x0000_t75" style="width:21.75pt;height:23.25pt" o:ole="">
            <v:imagedata r:id="rId13" o:title=""/>
          </v:shape>
          <o:OLEObject Type="Embed" ProgID="CorelDRAW.Graphic.13" ShapeID="_x0000_i1071" DrawAspect="Content" ObjectID="_1793685944" r:id="rId73"/>
        </w:object>
      </w:r>
    </w:p>
    <w:p w14:paraId="4993EA5A" w14:textId="77777777" w:rsidR="00465C63" w:rsidRPr="00E8601E" w:rsidRDefault="00465C63" w:rsidP="00AD12FB">
      <w:pPr>
        <w:pStyle w:val="PargrafodaLista"/>
        <w:numPr>
          <w:ilvl w:val="0"/>
          <w:numId w:val="1"/>
        </w:numPr>
        <w:spacing w:after="120"/>
        <w:ind w:firstLine="709"/>
        <w:jc w:val="both"/>
        <w:rPr>
          <w:rFonts w:ascii="Tahoma" w:hAnsi="Tahoma" w:cs="Tahoma"/>
          <w:sz w:val="20"/>
        </w:rPr>
      </w:pPr>
      <w:r w:rsidRPr="00E8601E">
        <w:rPr>
          <w:rFonts w:ascii="Tahoma" w:hAnsi="Tahoma" w:cs="Tahoma"/>
          <w:sz w:val="20"/>
        </w:rPr>
        <w:t>Aplicar os recursos em cotas de fundos de investimentos, cuja atuação em mercados de derivativos gere exposições superiores ao respectivo patrimônio líquido;</w:t>
      </w:r>
    </w:p>
    <w:p w14:paraId="4A925D2E" w14:textId="2603C1A3" w:rsidR="00465C63" w:rsidRPr="00E8601E" w:rsidRDefault="00A4368B" w:rsidP="00AD12FB">
      <w:pPr>
        <w:pStyle w:val="Default"/>
        <w:numPr>
          <w:ilvl w:val="0"/>
          <w:numId w:val="1"/>
        </w:numPr>
        <w:spacing w:after="120"/>
        <w:ind w:firstLine="709"/>
        <w:jc w:val="both"/>
        <w:rPr>
          <w:rFonts w:ascii="Tahoma" w:hAnsi="Tahoma" w:cs="Tahoma"/>
          <w:sz w:val="20"/>
          <w:szCs w:val="22"/>
        </w:rPr>
      </w:pPr>
      <w:r>
        <w:rPr>
          <w:rFonts w:ascii="Tahoma" w:hAnsi="Tahoma" w:cs="Tahoma"/>
          <w:sz w:val="20"/>
          <w:szCs w:val="22"/>
        </w:rPr>
        <w:t>A</w:t>
      </w:r>
      <w:r w:rsidR="009134DA" w:rsidRPr="009134DA">
        <w:rPr>
          <w:rFonts w:ascii="Tahoma" w:hAnsi="Tahoma" w:cs="Tahoma"/>
          <w:sz w:val="20"/>
          <w:szCs w:val="22"/>
        </w:rPr>
        <w:t>plicar recursos, diretamente ou por meio de cotas de fundo de investimento, em títulos ou outros ativos financeiros nos quais o ente federativo figure como emissor, devedor ou preste fiança, aval, aceite ou coobrigação sob qualquer outra forma</w:t>
      </w:r>
      <w:r w:rsidR="00465C63" w:rsidRPr="00E8601E">
        <w:rPr>
          <w:rFonts w:ascii="Tahoma" w:hAnsi="Tahoma" w:cs="Tahoma"/>
          <w:sz w:val="20"/>
          <w:szCs w:val="22"/>
        </w:rPr>
        <w:t xml:space="preserve">; </w:t>
      </w:r>
    </w:p>
    <w:p w14:paraId="5E5DDAA9" w14:textId="767AF7BB" w:rsidR="00465C63" w:rsidRPr="00E8601E" w:rsidRDefault="00A4368B" w:rsidP="00AD12FB">
      <w:pPr>
        <w:pStyle w:val="Default"/>
        <w:numPr>
          <w:ilvl w:val="0"/>
          <w:numId w:val="1"/>
        </w:numPr>
        <w:spacing w:after="120"/>
        <w:ind w:firstLine="709"/>
        <w:jc w:val="both"/>
        <w:rPr>
          <w:rFonts w:ascii="Tahoma" w:hAnsi="Tahoma" w:cs="Tahoma"/>
          <w:sz w:val="20"/>
          <w:szCs w:val="22"/>
        </w:rPr>
      </w:pPr>
      <w:r>
        <w:rPr>
          <w:rFonts w:ascii="Tahoma" w:hAnsi="Tahoma" w:cs="Tahoma"/>
          <w:sz w:val="20"/>
          <w:szCs w:val="22"/>
        </w:rPr>
        <w:t>A</w:t>
      </w:r>
      <w:r w:rsidR="009134DA" w:rsidRPr="009134DA">
        <w:rPr>
          <w:rFonts w:ascii="Tahoma" w:hAnsi="Tahoma" w:cs="Tahoma"/>
          <w:sz w:val="20"/>
          <w:szCs w:val="22"/>
        </w:rPr>
        <w:t>plicar recursos na aquisição de cotas de fundo de investimento em direitos creditórios não padronizados</w:t>
      </w:r>
      <w:r w:rsidR="00465C63">
        <w:rPr>
          <w:rFonts w:ascii="Tahoma" w:hAnsi="Tahoma" w:cs="Tahoma"/>
          <w:sz w:val="20"/>
          <w:szCs w:val="22"/>
        </w:rPr>
        <w:t>;</w:t>
      </w:r>
    </w:p>
    <w:p w14:paraId="2C04BE4C" w14:textId="06BC3710" w:rsidR="00465C63" w:rsidRPr="00C02E24" w:rsidRDefault="00A4368B" w:rsidP="00AD12FB">
      <w:pPr>
        <w:pStyle w:val="Default"/>
        <w:numPr>
          <w:ilvl w:val="0"/>
          <w:numId w:val="1"/>
        </w:numPr>
        <w:spacing w:after="120"/>
        <w:ind w:firstLine="709"/>
        <w:jc w:val="both"/>
        <w:rPr>
          <w:rFonts w:ascii="Tahoma" w:hAnsi="Tahoma" w:cs="Tahoma"/>
          <w:sz w:val="20"/>
          <w:szCs w:val="22"/>
        </w:rPr>
      </w:pPr>
      <w:r w:rsidRPr="00C02E24">
        <w:rPr>
          <w:rFonts w:ascii="Tahoma" w:hAnsi="Tahoma" w:cs="Tahoma"/>
          <w:sz w:val="20"/>
          <w:szCs w:val="22"/>
        </w:rPr>
        <w:t>R</w:t>
      </w:r>
      <w:r w:rsidR="009134DA" w:rsidRPr="00C02E24">
        <w:rPr>
          <w:rFonts w:ascii="Tahoma" w:hAnsi="Tahoma" w:cs="Tahoma"/>
          <w:sz w:val="20"/>
          <w:szCs w:val="22"/>
        </w:rPr>
        <w:t xml:space="preserve">ealizar diretamente operações de compra e venda de um mesmo ativo financeiro em um mesmo dia (operações </w:t>
      </w:r>
      <w:proofErr w:type="spellStart"/>
      <w:r w:rsidR="009134DA" w:rsidRPr="00C02E24">
        <w:rPr>
          <w:rFonts w:ascii="Tahoma" w:hAnsi="Tahoma" w:cs="Tahoma"/>
          <w:i/>
          <w:iCs/>
          <w:sz w:val="20"/>
          <w:szCs w:val="22"/>
        </w:rPr>
        <w:t>day</w:t>
      </w:r>
      <w:proofErr w:type="spellEnd"/>
      <w:r w:rsidR="009134DA" w:rsidRPr="00C02E24">
        <w:rPr>
          <w:rFonts w:ascii="Tahoma" w:hAnsi="Tahoma" w:cs="Tahoma"/>
          <w:i/>
          <w:iCs/>
          <w:sz w:val="20"/>
          <w:szCs w:val="22"/>
        </w:rPr>
        <w:t xml:space="preserve"> trade</w:t>
      </w:r>
      <w:r w:rsidR="009134DA" w:rsidRPr="00C02E24">
        <w:rPr>
          <w:rFonts w:ascii="Tahoma" w:hAnsi="Tahoma" w:cs="Tahoma"/>
          <w:sz w:val="20"/>
          <w:szCs w:val="22"/>
        </w:rPr>
        <w:t>)</w:t>
      </w:r>
      <w:r w:rsidR="00465C63" w:rsidRPr="00C02E24">
        <w:rPr>
          <w:rFonts w:ascii="Tahoma" w:hAnsi="Tahoma" w:cs="Tahoma"/>
          <w:sz w:val="20"/>
          <w:szCs w:val="22"/>
        </w:rPr>
        <w:t>;</w:t>
      </w:r>
    </w:p>
    <w:p w14:paraId="598CD767" w14:textId="77E1713A" w:rsidR="00465C63" w:rsidRPr="00C02E24" w:rsidRDefault="00A4368B" w:rsidP="00AD12FB">
      <w:pPr>
        <w:pStyle w:val="Default"/>
        <w:numPr>
          <w:ilvl w:val="0"/>
          <w:numId w:val="1"/>
        </w:numPr>
        <w:spacing w:after="120"/>
        <w:ind w:firstLine="709"/>
        <w:jc w:val="both"/>
        <w:rPr>
          <w:rFonts w:ascii="Tahoma" w:hAnsi="Tahoma" w:cs="Tahoma"/>
          <w:sz w:val="20"/>
          <w:szCs w:val="22"/>
        </w:rPr>
      </w:pPr>
      <w:r w:rsidRPr="00C02E24">
        <w:rPr>
          <w:rFonts w:ascii="Tahoma" w:hAnsi="Tahoma" w:cs="Tahoma"/>
          <w:sz w:val="20"/>
          <w:szCs w:val="22"/>
        </w:rPr>
        <w:t>A</w:t>
      </w:r>
      <w:r w:rsidR="009134DA" w:rsidRPr="00C02E24">
        <w:rPr>
          <w:rFonts w:ascii="Tahoma" w:hAnsi="Tahoma" w:cs="Tahoma"/>
          <w:sz w:val="20"/>
          <w:szCs w:val="22"/>
        </w:rPr>
        <w:t>tuar em modalidades operacionais ou negociar com duplicatas, títulos de crédito ou outros ativos que não os previstos nesta Resolução</w:t>
      </w:r>
      <w:r w:rsidR="00465C63" w:rsidRPr="00C02E24">
        <w:rPr>
          <w:rFonts w:ascii="Tahoma" w:hAnsi="Tahoma" w:cs="Tahoma"/>
          <w:sz w:val="20"/>
          <w:szCs w:val="22"/>
        </w:rPr>
        <w:t>;</w:t>
      </w:r>
    </w:p>
    <w:p w14:paraId="268AE155" w14:textId="373DB298" w:rsidR="00465C63" w:rsidRPr="00C02E24" w:rsidRDefault="00A4368B" w:rsidP="00AD12FB">
      <w:pPr>
        <w:pStyle w:val="Default"/>
        <w:numPr>
          <w:ilvl w:val="0"/>
          <w:numId w:val="1"/>
        </w:numPr>
        <w:spacing w:after="120"/>
        <w:ind w:firstLine="709"/>
        <w:jc w:val="both"/>
        <w:rPr>
          <w:rFonts w:ascii="Tahoma" w:hAnsi="Tahoma" w:cs="Tahoma"/>
          <w:sz w:val="20"/>
          <w:szCs w:val="22"/>
        </w:rPr>
      </w:pPr>
      <w:r w:rsidRPr="00C02E24">
        <w:rPr>
          <w:rFonts w:ascii="Tahoma" w:hAnsi="Tahoma" w:cs="Tahoma"/>
          <w:sz w:val="20"/>
          <w:szCs w:val="22"/>
        </w:rPr>
        <w:t>N</w:t>
      </w:r>
      <w:r w:rsidR="009134DA" w:rsidRPr="00C02E24">
        <w:rPr>
          <w:rFonts w:ascii="Tahoma" w:hAnsi="Tahoma" w:cs="Tahoma"/>
          <w:sz w:val="20"/>
          <w:szCs w:val="22"/>
        </w:rPr>
        <w:t>egociar cotas de fundos de índice em mercado de balcão;</w:t>
      </w:r>
    </w:p>
    <w:p w14:paraId="39F390E1" w14:textId="36E1A452" w:rsidR="009134DA" w:rsidRPr="00C02E24" w:rsidRDefault="00A4368B" w:rsidP="00AD12FB">
      <w:pPr>
        <w:pStyle w:val="Default"/>
        <w:numPr>
          <w:ilvl w:val="0"/>
          <w:numId w:val="1"/>
        </w:numPr>
        <w:spacing w:after="120"/>
        <w:ind w:firstLine="709"/>
        <w:jc w:val="both"/>
        <w:rPr>
          <w:rFonts w:ascii="Tahoma" w:hAnsi="Tahoma" w:cs="Tahoma"/>
          <w:sz w:val="20"/>
          <w:szCs w:val="22"/>
        </w:rPr>
      </w:pPr>
      <w:r w:rsidRPr="00C02E24">
        <w:rPr>
          <w:rFonts w:ascii="Tahoma" w:hAnsi="Tahoma" w:cs="Tahoma"/>
          <w:sz w:val="20"/>
          <w:szCs w:val="22"/>
        </w:rPr>
        <w:t>A</w:t>
      </w:r>
      <w:r w:rsidR="009134DA" w:rsidRPr="00C02E24">
        <w:rPr>
          <w:rFonts w:ascii="Tahoma" w:hAnsi="Tahoma" w:cs="Tahoma"/>
          <w:sz w:val="20"/>
          <w:szCs w:val="22"/>
        </w:rPr>
        <w:t>plicar recursos diretamente na aquisição de cotas de fundo de investimento destinado exclusivamente a investidores qualificados ou profissionais, quando não atendidos os critérios estabelecidos em regulamentação específica;</w:t>
      </w:r>
    </w:p>
    <w:p w14:paraId="77F15FE7" w14:textId="7A17BDCD" w:rsidR="009134DA" w:rsidRPr="00C02E24" w:rsidRDefault="00EC09AA" w:rsidP="00AD12FB">
      <w:pPr>
        <w:pStyle w:val="Default"/>
        <w:numPr>
          <w:ilvl w:val="0"/>
          <w:numId w:val="1"/>
        </w:numPr>
        <w:spacing w:after="120"/>
        <w:ind w:firstLine="709"/>
        <w:jc w:val="both"/>
        <w:rPr>
          <w:rFonts w:ascii="Tahoma" w:hAnsi="Tahoma" w:cs="Tahoma"/>
          <w:sz w:val="20"/>
          <w:szCs w:val="22"/>
        </w:rPr>
      </w:pPr>
      <w:r w:rsidRPr="00C02E24">
        <w:rPr>
          <w:rFonts w:ascii="Tahoma" w:hAnsi="Tahoma" w:cs="Tahoma"/>
          <w:sz w:val="20"/>
          <w:szCs w:val="22"/>
        </w:rPr>
        <w:t>Re</w:t>
      </w:r>
      <w:r w:rsidR="00A4368B" w:rsidRPr="00C02E24">
        <w:rPr>
          <w:rFonts w:ascii="Tahoma" w:hAnsi="Tahoma" w:cs="Tahoma"/>
          <w:sz w:val="20"/>
          <w:szCs w:val="22"/>
        </w:rPr>
        <w:t>n</w:t>
      </w:r>
      <w:r w:rsidR="00236C13" w:rsidRPr="00C02E24">
        <w:rPr>
          <w:rFonts w:ascii="Tahoma" w:hAnsi="Tahoma" w:cs="Tahoma"/>
          <w:sz w:val="20"/>
          <w:szCs w:val="22"/>
        </w:rPr>
        <w:t>u</w:t>
      </w:r>
      <w:r w:rsidR="00A4368B" w:rsidRPr="00C02E24">
        <w:rPr>
          <w:rFonts w:ascii="Tahoma" w:hAnsi="Tahoma" w:cs="Tahoma"/>
          <w:sz w:val="20"/>
          <w:szCs w:val="22"/>
        </w:rPr>
        <w:t>m</w:t>
      </w:r>
      <w:r w:rsidR="00236C13" w:rsidRPr="00C02E24">
        <w:rPr>
          <w:rFonts w:ascii="Tahoma" w:hAnsi="Tahoma" w:cs="Tahoma"/>
          <w:sz w:val="20"/>
          <w:szCs w:val="22"/>
        </w:rPr>
        <w:t>erar quaisquer prestadores de serviço relacionados</w:t>
      </w:r>
      <w:r w:rsidR="002104B1" w:rsidRPr="00C02E24">
        <w:rPr>
          <w:rFonts w:ascii="Tahoma" w:hAnsi="Tahoma" w:cs="Tahoma"/>
          <w:sz w:val="20"/>
          <w:szCs w:val="22"/>
        </w:rPr>
        <w:t>,</w:t>
      </w:r>
      <w:r w:rsidR="00236C13" w:rsidRPr="00C02E24">
        <w:rPr>
          <w:rFonts w:ascii="Tahoma" w:hAnsi="Tahoma" w:cs="Tahoma"/>
          <w:sz w:val="20"/>
          <w:szCs w:val="22"/>
        </w:rPr>
        <w:t xml:space="preserve"> direta ou indiretamente</w:t>
      </w:r>
      <w:r w:rsidR="002104B1" w:rsidRPr="00C02E24">
        <w:rPr>
          <w:rFonts w:ascii="Tahoma" w:hAnsi="Tahoma" w:cs="Tahoma"/>
          <w:sz w:val="20"/>
          <w:szCs w:val="22"/>
        </w:rPr>
        <w:t>,</w:t>
      </w:r>
      <w:r w:rsidR="00236C13" w:rsidRPr="00C02E24">
        <w:rPr>
          <w:rFonts w:ascii="Tahoma" w:hAnsi="Tahoma" w:cs="Tahoma"/>
          <w:sz w:val="20"/>
          <w:szCs w:val="22"/>
        </w:rPr>
        <w:t xml:space="preserve"> aos fundos de investimento em que foram aplicados seus recursos, de forma distinta das seguintes: a) taxas de administração, performance, ingresso ou saída</w:t>
      </w:r>
      <w:r w:rsidR="002104B1" w:rsidRPr="00C02E24">
        <w:rPr>
          <w:rFonts w:ascii="Tahoma" w:hAnsi="Tahoma" w:cs="Tahoma"/>
          <w:sz w:val="20"/>
          <w:szCs w:val="22"/>
        </w:rPr>
        <w:t>,</w:t>
      </w:r>
      <w:r w:rsidR="00236C13" w:rsidRPr="00C02E24">
        <w:rPr>
          <w:rFonts w:ascii="Tahoma" w:hAnsi="Tahoma" w:cs="Tahoma"/>
          <w:sz w:val="20"/>
          <w:szCs w:val="22"/>
        </w:rPr>
        <w:t xml:space="preserve"> previstas em regulamento ou contrato de carteira administrada; ou b) encargos do fundo, nos termos da regulamentação da CVM;</w:t>
      </w:r>
    </w:p>
    <w:p w14:paraId="242629F9" w14:textId="1D28E38C" w:rsidR="00236C13" w:rsidRPr="00C02E24" w:rsidRDefault="00A4368B" w:rsidP="00AD12FB">
      <w:pPr>
        <w:pStyle w:val="Default"/>
        <w:numPr>
          <w:ilvl w:val="0"/>
          <w:numId w:val="1"/>
        </w:numPr>
        <w:spacing w:after="120"/>
        <w:ind w:firstLine="709"/>
        <w:jc w:val="both"/>
        <w:rPr>
          <w:rFonts w:ascii="Tahoma" w:hAnsi="Tahoma" w:cs="Tahoma"/>
          <w:sz w:val="20"/>
          <w:szCs w:val="22"/>
        </w:rPr>
      </w:pPr>
      <w:r w:rsidRPr="00C02E24">
        <w:rPr>
          <w:rFonts w:ascii="Tahoma" w:hAnsi="Tahoma" w:cs="Tahoma"/>
          <w:sz w:val="20"/>
          <w:szCs w:val="22"/>
        </w:rPr>
        <w:t>A</w:t>
      </w:r>
      <w:r w:rsidR="00236C13" w:rsidRPr="00C02E24">
        <w:rPr>
          <w:rFonts w:ascii="Tahoma" w:hAnsi="Tahoma" w:cs="Tahoma"/>
          <w:sz w:val="20"/>
          <w:szCs w:val="22"/>
        </w:rPr>
        <w:t>plicar recursos diretamente em certificados de operações estruturadas (COE)</w:t>
      </w:r>
      <w:r w:rsidR="00FE044C" w:rsidRPr="00C02E24">
        <w:rPr>
          <w:rFonts w:ascii="Tahoma" w:hAnsi="Tahoma" w:cs="Tahoma"/>
          <w:sz w:val="20"/>
          <w:szCs w:val="22"/>
        </w:rPr>
        <w:t>;</w:t>
      </w:r>
    </w:p>
    <w:p w14:paraId="1C848AFD" w14:textId="5D9AA376" w:rsidR="00FE044C" w:rsidRPr="00C02E24" w:rsidRDefault="00FE044C" w:rsidP="00AD12FB">
      <w:pPr>
        <w:pStyle w:val="Default"/>
        <w:numPr>
          <w:ilvl w:val="0"/>
          <w:numId w:val="1"/>
        </w:numPr>
        <w:spacing w:after="120"/>
        <w:ind w:firstLine="709"/>
        <w:jc w:val="both"/>
        <w:rPr>
          <w:rFonts w:ascii="Tahoma" w:hAnsi="Tahoma" w:cs="Tahoma"/>
          <w:sz w:val="20"/>
          <w:szCs w:val="22"/>
        </w:rPr>
      </w:pPr>
      <w:r w:rsidRPr="00C02E24">
        <w:rPr>
          <w:rFonts w:ascii="Tahoma" w:hAnsi="Tahoma" w:cs="Tahoma"/>
          <w:sz w:val="20"/>
          <w:szCs w:val="22"/>
        </w:rPr>
        <w:t>Aplicar em ativos que não possuam participante</w:t>
      </w:r>
      <w:r w:rsidR="002104B1" w:rsidRPr="00C02E24">
        <w:rPr>
          <w:rFonts w:ascii="Tahoma" w:hAnsi="Tahoma" w:cs="Tahoma"/>
          <w:sz w:val="20"/>
          <w:szCs w:val="22"/>
        </w:rPr>
        <w:t>s</w:t>
      </w:r>
      <w:r w:rsidRPr="00C02E24">
        <w:rPr>
          <w:rFonts w:ascii="Tahoma" w:hAnsi="Tahoma" w:cs="Tahoma"/>
          <w:sz w:val="20"/>
          <w:szCs w:val="22"/>
        </w:rPr>
        <w:t xml:space="preserve"> elencados na Lista Exaustiva, disponibilizada pel</w:t>
      </w:r>
      <w:r w:rsidR="002104B1" w:rsidRPr="00C02E24">
        <w:rPr>
          <w:rFonts w:ascii="Tahoma" w:hAnsi="Tahoma" w:cs="Tahoma"/>
          <w:sz w:val="20"/>
          <w:szCs w:val="22"/>
        </w:rPr>
        <w:t>o</w:t>
      </w:r>
      <w:r w:rsidRPr="00C02E24">
        <w:rPr>
          <w:rFonts w:ascii="Tahoma" w:hAnsi="Tahoma" w:cs="Tahoma"/>
          <w:sz w:val="20"/>
          <w:szCs w:val="22"/>
        </w:rPr>
        <w:t xml:space="preserve"> </w:t>
      </w:r>
      <w:r w:rsidR="00611583" w:rsidRPr="00C02E24">
        <w:rPr>
          <w:rFonts w:ascii="Tahoma" w:hAnsi="Tahoma" w:cs="Tahoma"/>
          <w:sz w:val="20"/>
          <w:szCs w:val="22"/>
        </w:rPr>
        <w:t>MPS</w:t>
      </w:r>
      <w:r w:rsidRPr="00C02E24">
        <w:rPr>
          <w:rFonts w:ascii="Tahoma" w:hAnsi="Tahoma" w:cs="Tahoma"/>
          <w:sz w:val="20"/>
          <w:szCs w:val="22"/>
        </w:rPr>
        <w:t>.</w:t>
      </w:r>
    </w:p>
    <w:p w14:paraId="30448B68" w14:textId="77777777" w:rsidR="00465C63" w:rsidRPr="00E8601E" w:rsidRDefault="00465C63" w:rsidP="00AD12FB">
      <w:pPr>
        <w:spacing w:after="120"/>
        <w:ind w:firstLine="709"/>
        <w:rPr>
          <w:rFonts w:ascii="Tahoma" w:hAnsi="Tahoma" w:cs="Tahoma"/>
          <w:sz w:val="20"/>
        </w:rPr>
      </w:pPr>
      <w:r w:rsidRPr="00E8601E">
        <w:rPr>
          <w:rFonts w:ascii="Tahoma" w:hAnsi="Tahoma" w:cs="Tahoma"/>
          <w:sz w:val="20"/>
        </w:rPr>
        <w:br w:type="page"/>
      </w:r>
    </w:p>
    <w:bookmarkStart w:id="46" w:name="_Toc181542591"/>
    <w:p w14:paraId="50A4D884" w14:textId="0F0FCD8F" w:rsidR="00465C63" w:rsidRPr="00E8601E" w:rsidRDefault="00EC5FD6" w:rsidP="00EC5FD6">
      <w:pPr>
        <w:pStyle w:val="Ttulo1"/>
        <w:rPr>
          <w:sz w:val="22"/>
        </w:rPr>
      </w:pPr>
      <w:r w:rsidRPr="00E4782B">
        <w:object w:dxaOrig="2425" w:dyaOrig="2598" w14:anchorId="6205AECD">
          <v:shape id="_x0000_i1072" type="#_x0000_t75" style="width:9.75pt;height:9pt" o:ole="">
            <v:imagedata r:id="rId11" o:title=""/>
          </v:shape>
          <o:OLEObject Type="Embed" ProgID="CorelDRAW.Graphic.13" ShapeID="_x0000_i1072" DrawAspect="Content" ObjectID="_1793685945" r:id="rId74"/>
        </w:object>
      </w:r>
      <w:r w:rsidR="00465C63" w:rsidRPr="00E8601E">
        <w:rPr>
          <w:sz w:val="22"/>
        </w:rPr>
        <w:t>DISPOSIÇÕES GERAIS</w:t>
      </w:r>
      <w:bookmarkEnd w:id="46"/>
      <w:r w:rsidR="00465C63" w:rsidRPr="00E8601E">
        <w:rPr>
          <w:sz w:val="22"/>
        </w:rPr>
        <w:object w:dxaOrig="3163" w:dyaOrig="3187" w14:anchorId="57729448">
          <v:shape id="_x0000_i1073" type="#_x0000_t75" style="width:21.75pt;height:23.25pt" o:ole="">
            <v:imagedata r:id="rId13" o:title=""/>
          </v:shape>
          <o:OLEObject Type="Embed" ProgID="CorelDRAW.Graphic.13" ShapeID="_x0000_i1073" DrawAspect="Content" ObjectID="_1793685946" r:id="rId75"/>
        </w:object>
      </w:r>
    </w:p>
    <w:p w14:paraId="5F132195" w14:textId="77777777" w:rsidR="00465C63" w:rsidRPr="00E8601E" w:rsidRDefault="00465C63" w:rsidP="00AD12FB">
      <w:pPr>
        <w:spacing w:after="120"/>
        <w:ind w:firstLine="709"/>
        <w:rPr>
          <w:rFonts w:ascii="Tahoma" w:hAnsi="Tahoma" w:cs="Tahoma"/>
          <w:sz w:val="20"/>
        </w:rPr>
      </w:pPr>
    </w:p>
    <w:p w14:paraId="7BFC44F7" w14:textId="7F09BAD6" w:rsidR="00465C63" w:rsidRPr="007E77FF" w:rsidRDefault="00465C63" w:rsidP="00AD12FB">
      <w:pPr>
        <w:spacing w:after="120"/>
        <w:ind w:firstLine="709"/>
        <w:jc w:val="both"/>
        <w:rPr>
          <w:rFonts w:ascii="Tahoma" w:hAnsi="Tahoma" w:cs="Tahoma"/>
          <w:sz w:val="20"/>
        </w:rPr>
      </w:pPr>
      <w:r w:rsidRPr="00E8601E">
        <w:rPr>
          <w:rFonts w:ascii="Tahoma" w:hAnsi="Tahoma" w:cs="Tahoma"/>
          <w:sz w:val="20"/>
        </w:rPr>
        <w:t xml:space="preserve">A presente </w:t>
      </w:r>
      <w:r w:rsidR="007A0B11">
        <w:rPr>
          <w:rFonts w:ascii="Tahoma" w:hAnsi="Tahoma" w:cs="Tahoma"/>
          <w:sz w:val="20"/>
        </w:rPr>
        <w:t xml:space="preserve">Política de </w:t>
      </w:r>
      <w:r w:rsidR="007A0B11" w:rsidRPr="007E77FF">
        <w:rPr>
          <w:rFonts w:ascii="Tahoma" w:hAnsi="Tahoma" w:cs="Tahoma"/>
          <w:sz w:val="20"/>
        </w:rPr>
        <w:t>Investimentos</w:t>
      </w:r>
      <w:r w:rsidRPr="007E77FF">
        <w:rPr>
          <w:rFonts w:ascii="Tahoma" w:hAnsi="Tahoma" w:cs="Tahoma"/>
          <w:sz w:val="20"/>
        </w:rPr>
        <w:t xml:space="preserve"> está baseada nas avaliações do cenário econômico para o ano de 202</w:t>
      </w:r>
      <w:r w:rsidR="00E16EDA" w:rsidRPr="007E77FF">
        <w:rPr>
          <w:rFonts w:ascii="Tahoma" w:hAnsi="Tahoma" w:cs="Tahoma"/>
          <w:sz w:val="20"/>
        </w:rPr>
        <w:t>5</w:t>
      </w:r>
      <w:r w:rsidRPr="007E77FF">
        <w:rPr>
          <w:rFonts w:ascii="Tahoma" w:hAnsi="Tahoma" w:cs="Tahoma"/>
          <w:sz w:val="20"/>
        </w:rPr>
        <w:t xml:space="preserve">, tendo utilizado, para tanto, dados e cenários constantes do Relatório de Inflação, publicação do Comitê de Política Econômica – COPOM e o Relatório de Mercado </w:t>
      </w:r>
      <w:r w:rsidR="002104B1" w:rsidRPr="007E77FF">
        <w:rPr>
          <w:rFonts w:ascii="Tahoma" w:hAnsi="Tahoma" w:cs="Tahoma"/>
          <w:sz w:val="20"/>
        </w:rPr>
        <w:t>–</w:t>
      </w:r>
      <w:r w:rsidRPr="007E77FF">
        <w:rPr>
          <w:rFonts w:ascii="Tahoma" w:hAnsi="Tahoma" w:cs="Tahoma"/>
          <w:sz w:val="20"/>
        </w:rPr>
        <w:t xml:space="preserve"> FOCUS</w:t>
      </w:r>
      <w:r w:rsidR="002104B1" w:rsidRPr="007E77FF">
        <w:rPr>
          <w:rFonts w:ascii="Tahoma" w:hAnsi="Tahoma" w:cs="Tahoma"/>
          <w:sz w:val="20"/>
        </w:rPr>
        <w:t>.</w:t>
      </w:r>
      <w:r w:rsidRPr="007E77FF">
        <w:rPr>
          <w:rFonts w:ascii="Tahoma" w:hAnsi="Tahoma" w:cs="Tahoma"/>
          <w:sz w:val="20"/>
        </w:rPr>
        <w:t xml:space="preserve"> O Boletim Focus é um informe que relata as projeções do mercado com base em consulta a aproximadamente 100 (cem) instituições financeiras, e é divulgado semanalmente.</w:t>
      </w:r>
    </w:p>
    <w:p w14:paraId="17EEB0E4" w14:textId="0F63D33B" w:rsidR="00465C63" w:rsidRPr="00C02E24" w:rsidRDefault="00465C63" w:rsidP="00AD12FB">
      <w:pPr>
        <w:spacing w:after="120"/>
        <w:ind w:firstLine="709"/>
        <w:jc w:val="both"/>
        <w:rPr>
          <w:rFonts w:ascii="Tahoma" w:hAnsi="Tahoma" w:cs="Tahoma"/>
          <w:sz w:val="20"/>
        </w:rPr>
      </w:pPr>
      <w:r w:rsidRPr="007E77FF">
        <w:rPr>
          <w:rFonts w:ascii="Tahoma" w:hAnsi="Tahoma" w:cs="Tahoma"/>
          <w:sz w:val="20"/>
        </w:rPr>
        <w:t xml:space="preserve">As disposições gerais </w:t>
      </w:r>
      <w:r w:rsidR="005D3A43">
        <w:rPr>
          <w:rFonts w:ascii="Tahoma" w:hAnsi="Tahoma" w:cs="Tahoma"/>
          <w:sz w:val="20"/>
        </w:rPr>
        <w:t>contemplam</w:t>
      </w:r>
      <w:r w:rsidRPr="007E77FF">
        <w:rPr>
          <w:rFonts w:ascii="Tahoma" w:hAnsi="Tahoma" w:cs="Tahoma"/>
          <w:sz w:val="20"/>
        </w:rPr>
        <w:t xml:space="preserve"> os quesitos para o encerramento</w:t>
      </w:r>
      <w:r w:rsidRPr="00E8601E">
        <w:rPr>
          <w:rFonts w:ascii="Tahoma" w:hAnsi="Tahoma" w:cs="Tahoma"/>
          <w:sz w:val="20"/>
        </w:rPr>
        <w:t xml:space="preserve"> da </w:t>
      </w:r>
      <w:r w:rsidR="007A0B11">
        <w:rPr>
          <w:rFonts w:ascii="Tahoma" w:hAnsi="Tahoma" w:cs="Tahoma"/>
          <w:sz w:val="20"/>
        </w:rPr>
        <w:t>Política de Investimentos</w:t>
      </w:r>
      <w:r w:rsidRPr="00E8601E">
        <w:rPr>
          <w:rFonts w:ascii="Tahoma" w:hAnsi="Tahoma" w:cs="Tahoma"/>
          <w:sz w:val="20"/>
        </w:rPr>
        <w:t xml:space="preserve">. Destaca-se que esta política anual de investimentos dos recursos do </w:t>
      </w:r>
      <w:r w:rsidR="00F53C5D">
        <w:rPr>
          <w:rFonts w:ascii="Tahoma" w:hAnsi="Tahoma" w:cs="Tahoma"/>
          <w:sz w:val="20"/>
        </w:rPr>
        <w:t>Regime Próprio de Previdência Social</w:t>
      </w:r>
      <w:r w:rsidRPr="00344EA0">
        <w:rPr>
          <w:rFonts w:ascii="Tahoma" w:hAnsi="Tahoma" w:cs="Tahoma"/>
          <w:sz w:val="20"/>
        </w:rPr>
        <w:t xml:space="preserve"> do </w:t>
      </w:r>
      <w:r w:rsidR="002D02EA">
        <w:rPr>
          <w:rFonts w:ascii="Tahoma" w:hAnsi="Tahoma" w:cs="Tahoma"/>
          <w:b/>
          <w:noProof/>
          <w:sz w:val="20"/>
        </w:rPr>
        <w:fldChar w:fldCharType="begin"/>
      </w:r>
      <w:r w:rsidR="002D02EA">
        <w:rPr>
          <w:rFonts w:ascii="Tahoma" w:hAnsi="Tahoma" w:cs="Tahoma"/>
          <w:b/>
          <w:noProof/>
          <w:sz w:val="20"/>
        </w:rPr>
        <w:instrText xml:space="preserve"> MERGEFIELD RPPS </w:instrText>
      </w:r>
      <w:r w:rsidR="002D02EA">
        <w:rPr>
          <w:rFonts w:ascii="Tahoma" w:hAnsi="Tahoma" w:cs="Tahoma"/>
          <w:b/>
          <w:noProof/>
          <w:sz w:val="20"/>
        </w:rPr>
        <w:fldChar w:fldCharType="separate"/>
      </w:r>
      <w:r w:rsidR="00A14265" w:rsidRPr="00BC514D">
        <w:rPr>
          <w:rFonts w:ascii="Tahoma" w:hAnsi="Tahoma" w:cs="Tahoma"/>
          <w:b/>
          <w:noProof/>
          <w:sz w:val="20"/>
        </w:rPr>
        <w:t>MUNICÍPIO DE TRIUNFO</w:t>
      </w:r>
      <w:r w:rsidR="002D02EA">
        <w:rPr>
          <w:rFonts w:ascii="Tahoma" w:hAnsi="Tahoma" w:cs="Tahoma"/>
          <w:b/>
          <w:noProof/>
          <w:sz w:val="20"/>
        </w:rPr>
        <w:fldChar w:fldCharType="end"/>
      </w:r>
      <w:r w:rsidRPr="00903574">
        <w:rPr>
          <w:rFonts w:ascii="Tahoma" w:hAnsi="Tahoma" w:cs="Tahoma"/>
          <w:b/>
          <w:sz w:val="20"/>
        </w:rPr>
        <w:t xml:space="preserve"> </w:t>
      </w:r>
      <w:r w:rsidRPr="00344EA0">
        <w:rPr>
          <w:rFonts w:ascii="Tahoma" w:hAnsi="Tahoma" w:cs="Tahoma"/>
          <w:sz w:val="20"/>
        </w:rPr>
        <w:t xml:space="preserve">e suas revisões deverão ser aprovadas pelo órgão superior competente, antes da sua </w:t>
      </w:r>
      <w:r w:rsidRPr="00C02E24">
        <w:rPr>
          <w:rFonts w:ascii="Tahoma" w:hAnsi="Tahoma" w:cs="Tahoma"/>
          <w:sz w:val="20"/>
        </w:rPr>
        <w:t xml:space="preserve">implementação. Justificadamente, a política anual de investimentos poderá ser revista no curso de sua execução, com vistas à adequação ao mercado ou </w:t>
      </w:r>
      <w:r w:rsidR="00876A03" w:rsidRPr="00C02E24">
        <w:rPr>
          <w:rFonts w:ascii="Tahoma" w:hAnsi="Tahoma" w:cs="Tahoma"/>
          <w:sz w:val="20"/>
        </w:rPr>
        <w:t>a</w:t>
      </w:r>
      <w:r w:rsidRPr="00C02E24">
        <w:rPr>
          <w:rFonts w:ascii="Tahoma" w:hAnsi="Tahoma" w:cs="Tahoma"/>
          <w:sz w:val="20"/>
        </w:rPr>
        <w:t xml:space="preserve"> nova legislação, conforme prevê a Resolução CMN</w:t>
      </w:r>
      <w:r w:rsidR="002104B1" w:rsidRPr="00C02E24">
        <w:rPr>
          <w:rFonts w:ascii="Tahoma" w:hAnsi="Tahoma" w:cs="Tahoma"/>
          <w:sz w:val="20"/>
        </w:rPr>
        <w:t xml:space="preserve"> nº</w:t>
      </w:r>
      <w:r w:rsidRPr="00C02E24">
        <w:rPr>
          <w:rFonts w:ascii="Tahoma" w:hAnsi="Tahoma" w:cs="Tahoma"/>
          <w:sz w:val="20"/>
        </w:rPr>
        <w:t xml:space="preserve"> </w:t>
      </w:r>
      <w:r w:rsidR="00236C13" w:rsidRPr="00C02E24">
        <w:rPr>
          <w:rFonts w:ascii="Tahoma" w:hAnsi="Tahoma" w:cs="Tahoma"/>
          <w:sz w:val="20"/>
        </w:rPr>
        <w:t>4.963</w:t>
      </w:r>
      <w:r w:rsidRPr="00C02E24">
        <w:rPr>
          <w:rFonts w:ascii="Tahoma" w:hAnsi="Tahoma" w:cs="Tahoma"/>
          <w:sz w:val="20"/>
        </w:rPr>
        <w:t>/</w:t>
      </w:r>
      <w:r w:rsidR="00236C13" w:rsidRPr="00C02E24">
        <w:rPr>
          <w:rFonts w:ascii="Tahoma" w:hAnsi="Tahoma" w:cs="Tahoma"/>
          <w:sz w:val="20"/>
        </w:rPr>
        <w:t>2021</w:t>
      </w:r>
      <w:r w:rsidRPr="00C02E24">
        <w:rPr>
          <w:rFonts w:ascii="Tahoma" w:hAnsi="Tahoma" w:cs="Tahoma"/>
          <w:sz w:val="20"/>
        </w:rPr>
        <w:t>.</w:t>
      </w:r>
    </w:p>
    <w:p w14:paraId="3B04E9BA" w14:textId="669B47B6" w:rsidR="00465C63" w:rsidRPr="00E8601E" w:rsidRDefault="00465C63" w:rsidP="00AD12FB">
      <w:pPr>
        <w:spacing w:after="120"/>
        <w:ind w:firstLine="709"/>
        <w:jc w:val="both"/>
        <w:rPr>
          <w:rFonts w:ascii="Tahoma" w:hAnsi="Tahoma" w:cs="Tahoma"/>
          <w:sz w:val="20"/>
        </w:rPr>
      </w:pPr>
      <w:r w:rsidRPr="00C02E24">
        <w:rPr>
          <w:rFonts w:ascii="Tahoma" w:hAnsi="Tahoma" w:cs="Tahoma"/>
          <w:sz w:val="20"/>
        </w:rPr>
        <w:t xml:space="preserve">Além disso, o </w:t>
      </w:r>
      <w:r w:rsidR="002D02EA" w:rsidRPr="00C02E24">
        <w:rPr>
          <w:rFonts w:ascii="Tahoma" w:hAnsi="Tahoma" w:cs="Tahoma"/>
          <w:b/>
          <w:noProof/>
          <w:sz w:val="20"/>
        </w:rPr>
        <w:fldChar w:fldCharType="begin"/>
      </w:r>
      <w:r w:rsidR="002D02EA" w:rsidRPr="00C02E24">
        <w:rPr>
          <w:rFonts w:ascii="Tahoma" w:hAnsi="Tahoma" w:cs="Tahoma"/>
          <w:b/>
          <w:noProof/>
          <w:sz w:val="20"/>
        </w:rPr>
        <w:instrText xml:space="preserve"> MERGEFIELD TP </w:instrText>
      </w:r>
      <w:r w:rsidR="002D02EA" w:rsidRPr="00C02E24">
        <w:rPr>
          <w:rFonts w:ascii="Tahoma" w:hAnsi="Tahoma" w:cs="Tahoma"/>
          <w:b/>
          <w:noProof/>
          <w:sz w:val="20"/>
        </w:rPr>
        <w:fldChar w:fldCharType="separate"/>
      </w:r>
      <w:r w:rsidR="00A14265" w:rsidRPr="00BC514D">
        <w:rPr>
          <w:rFonts w:ascii="Tahoma" w:hAnsi="Tahoma" w:cs="Tahoma"/>
          <w:b/>
          <w:noProof/>
          <w:sz w:val="20"/>
        </w:rPr>
        <w:t>FAPETRI</w:t>
      </w:r>
      <w:r w:rsidR="002D02EA" w:rsidRPr="00C02E24">
        <w:rPr>
          <w:rFonts w:ascii="Tahoma" w:hAnsi="Tahoma" w:cs="Tahoma"/>
          <w:b/>
          <w:noProof/>
          <w:sz w:val="20"/>
        </w:rPr>
        <w:fldChar w:fldCharType="end"/>
      </w:r>
      <w:r w:rsidRPr="00C02E24">
        <w:rPr>
          <w:rFonts w:ascii="Tahoma" w:hAnsi="Tahoma" w:cs="Tahoma"/>
          <w:sz w:val="20"/>
        </w:rPr>
        <w:t xml:space="preserve"> deverá comprovar junto </w:t>
      </w:r>
      <w:r w:rsidR="00913E65" w:rsidRPr="00C02E24">
        <w:rPr>
          <w:rFonts w:ascii="Tahoma" w:hAnsi="Tahoma" w:cs="Tahoma"/>
          <w:sz w:val="20"/>
        </w:rPr>
        <w:t>ao MPS</w:t>
      </w:r>
      <w:r w:rsidRPr="00C02E24">
        <w:rPr>
          <w:rFonts w:ascii="Tahoma" w:hAnsi="Tahoma" w:cs="Tahoma"/>
          <w:sz w:val="20"/>
        </w:rPr>
        <w:t xml:space="preserve"> que o responsável pela gestão dos seus recursos, pessoa física vinculada ao ente federativo ou </w:t>
      </w:r>
      <w:r w:rsidR="00A4368B" w:rsidRPr="00C02E24">
        <w:rPr>
          <w:rFonts w:ascii="Tahoma" w:hAnsi="Tahoma" w:cs="Tahoma"/>
          <w:sz w:val="20"/>
        </w:rPr>
        <w:t>a</w:t>
      </w:r>
      <w:r w:rsidRPr="00C02E24">
        <w:rPr>
          <w:rFonts w:ascii="Tahoma" w:hAnsi="Tahoma" w:cs="Tahoma"/>
          <w:sz w:val="20"/>
        </w:rPr>
        <w:t xml:space="preserve"> unidade gestora do regime como servidor titular de cargo efetivo ou de livre nomeação e exoneração, designado para a função por ato da autoridade competente, tenha sido aprovado em exame de certificação organizado por entidade autônoma de reconhecida capacidade técnica e difusão no mercado brasileiro de capitais. Esta comprovação ocorrerá mediante o preenchimento dos campos específicos constantes de demonstrativo sintético. A validade e autenticidade da certificação informada serão verificadas junto à entidade certificadora pelos meios por ela disponibilizados</w:t>
      </w:r>
      <w:r w:rsidRPr="00E8601E">
        <w:rPr>
          <w:rFonts w:ascii="Tahoma" w:hAnsi="Tahoma" w:cs="Tahoma"/>
          <w:sz w:val="20"/>
        </w:rPr>
        <w:t>.</w:t>
      </w:r>
    </w:p>
    <w:p w14:paraId="468768AD" w14:textId="438E86D1" w:rsidR="00465C63" w:rsidRPr="00C02E24" w:rsidRDefault="00465C63" w:rsidP="00AD12FB">
      <w:pPr>
        <w:spacing w:after="120"/>
        <w:ind w:firstLine="709"/>
        <w:jc w:val="both"/>
        <w:rPr>
          <w:rFonts w:ascii="Tahoma" w:hAnsi="Tahoma" w:cs="Tahoma"/>
          <w:sz w:val="20"/>
        </w:rPr>
      </w:pPr>
      <w:r w:rsidRPr="00C02E24">
        <w:rPr>
          <w:rFonts w:ascii="Tahoma" w:hAnsi="Tahoma" w:cs="Tahoma"/>
          <w:sz w:val="20"/>
        </w:rPr>
        <w:t xml:space="preserve">Reuniões extraordinárias junto ao Comitê gestor de investimento do RPPS serão realizadas sempre que houver necessidade de ajustes nesta </w:t>
      </w:r>
      <w:r w:rsidR="007A0B11" w:rsidRPr="00C02E24">
        <w:rPr>
          <w:rFonts w:ascii="Tahoma" w:hAnsi="Tahoma" w:cs="Tahoma"/>
          <w:sz w:val="20"/>
        </w:rPr>
        <w:t>Política de Investimentos</w:t>
      </w:r>
      <w:r w:rsidRPr="00C02E24">
        <w:rPr>
          <w:rFonts w:ascii="Tahoma" w:hAnsi="Tahoma" w:cs="Tahoma"/>
          <w:sz w:val="20"/>
        </w:rPr>
        <w:t xml:space="preserve"> perante o comportamento/conjuntura do mercado, quando se apresentar o interesse da preservação dos ativos financeiros e/ou com vistas à adequação </w:t>
      </w:r>
      <w:r w:rsidR="00876A03" w:rsidRPr="00C02E24">
        <w:rPr>
          <w:rFonts w:ascii="Tahoma" w:hAnsi="Tahoma" w:cs="Tahoma"/>
          <w:sz w:val="20"/>
        </w:rPr>
        <w:t>a</w:t>
      </w:r>
      <w:r w:rsidRPr="00C02E24">
        <w:rPr>
          <w:rFonts w:ascii="Tahoma" w:hAnsi="Tahoma" w:cs="Tahoma"/>
          <w:sz w:val="20"/>
        </w:rPr>
        <w:t xml:space="preserve"> nova legislação.</w:t>
      </w:r>
    </w:p>
    <w:p w14:paraId="53C78219" w14:textId="60986491" w:rsidR="00465C63" w:rsidRPr="00766F17" w:rsidRDefault="00465C63" w:rsidP="00AD12FB">
      <w:pPr>
        <w:spacing w:after="120"/>
        <w:ind w:firstLine="709"/>
        <w:jc w:val="both"/>
        <w:rPr>
          <w:rFonts w:ascii="Tahoma" w:hAnsi="Tahoma" w:cs="Tahoma"/>
          <w:sz w:val="20"/>
        </w:rPr>
      </w:pPr>
      <w:r w:rsidRPr="00B46C29">
        <w:rPr>
          <w:rFonts w:ascii="Tahoma" w:hAnsi="Tahoma" w:cs="Tahoma"/>
          <w:sz w:val="20"/>
        </w:rPr>
        <w:t xml:space="preserve">Os responsáveis pelo acompanhamento e operacionalização dos investimentos do </w:t>
      </w:r>
      <w:r w:rsidR="00A17DB5" w:rsidRPr="00B46C29">
        <w:rPr>
          <w:rFonts w:ascii="Tahoma" w:hAnsi="Tahoma" w:cs="Tahoma"/>
          <w:b/>
          <w:bCs/>
          <w:sz w:val="20"/>
        </w:rPr>
        <w:fldChar w:fldCharType="begin"/>
      </w:r>
      <w:r w:rsidR="00A17DB5" w:rsidRPr="00B46C29">
        <w:rPr>
          <w:rFonts w:ascii="Tahoma" w:hAnsi="Tahoma" w:cs="Tahoma"/>
          <w:b/>
          <w:bCs/>
          <w:sz w:val="20"/>
        </w:rPr>
        <w:instrText xml:space="preserve"> MERGEFIELD TP </w:instrText>
      </w:r>
      <w:r w:rsidR="00A17DB5" w:rsidRPr="00B46C29">
        <w:rPr>
          <w:rFonts w:ascii="Tahoma" w:hAnsi="Tahoma" w:cs="Tahoma"/>
          <w:b/>
          <w:bCs/>
          <w:sz w:val="20"/>
        </w:rPr>
        <w:fldChar w:fldCharType="separate"/>
      </w:r>
      <w:r w:rsidR="00A14265" w:rsidRPr="00BC514D">
        <w:rPr>
          <w:rFonts w:ascii="Tahoma" w:hAnsi="Tahoma" w:cs="Tahoma"/>
          <w:b/>
          <w:bCs/>
          <w:noProof/>
          <w:sz w:val="20"/>
        </w:rPr>
        <w:t>FAPETRI</w:t>
      </w:r>
      <w:r w:rsidR="00A17DB5" w:rsidRPr="00B46C29">
        <w:rPr>
          <w:rFonts w:ascii="Tahoma" w:hAnsi="Tahoma" w:cs="Tahoma"/>
          <w:b/>
          <w:bCs/>
          <w:sz w:val="20"/>
        </w:rPr>
        <w:fldChar w:fldCharType="end"/>
      </w:r>
      <w:r w:rsidRPr="00B46C29">
        <w:rPr>
          <w:rFonts w:ascii="Tahoma" w:hAnsi="Tahoma" w:cs="Tahoma"/>
          <w:sz w:val="20"/>
        </w:rPr>
        <w:t xml:space="preserve"> (</w:t>
      </w:r>
      <w:r w:rsidR="00A17DB5" w:rsidRPr="00B46C29">
        <w:rPr>
          <w:rFonts w:ascii="Tahoma" w:hAnsi="Tahoma" w:cs="Tahoma"/>
          <w:sz w:val="20"/>
        </w:rPr>
        <w:fldChar w:fldCharType="begin"/>
      </w:r>
      <w:r w:rsidR="00A17DB5" w:rsidRPr="00B46C29">
        <w:rPr>
          <w:rFonts w:ascii="Tahoma" w:hAnsi="Tahoma" w:cs="Tahoma"/>
          <w:sz w:val="20"/>
        </w:rPr>
        <w:instrText xml:space="preserve"> MERGEFIELD COMITÊ </w:instrText>
      </w:r>
      <w:r w:rsidR="00A17DB5" w:rsidRPr="00B46C29">
        <w:rPr>
          <w:rFonts w:ascii="Tahoma" w:hAnsi="Tahoma" w:cs="Tahoma"/>
          <w:sz w:val="20"/>
        </w:rPr>
        <w:fldChar w:fldCharType="separate"/>
      </w:r>
      <w:r w:rsidR="00A14265" w:rsidRPr="00BC514D">
        <w:rPr>
          <w:rFonts w:ascii="Tahoma" w:hAnsi="Tahoma" w:cs="Tahoma"/>
          <w:noProof/>
          <w:sz w:val="20"/>
        </w:rPr>
        <w:t>COMITÊ DE INVESTIMENTOS</w:t>
      </w:r>
      <w:r w:rsidR="00A17DB5" w:rsidRPr="00B46C29">
        <w:rPr>
          <w:rFonts w:ascii="Tahoma" w:hAnsi="Tahoma" w:cs="Tahoma"/>
          <w:sz w:val="20"/>
        </w:rPr>
        <w:fldChar w:fldCharType="end"/>
      </w:r>
      <w:r w:rsidRPr="00B46C29">
        <w:rPr>
          <w:rFonts w:ascii="Tahoma" w:hAnsi="Tahoma" w:cs="Tahoma"/>
          <w:sz w:val="20"/>
        </w:rPr>
        <w:t xml:space="preserve">) </w:t>
      </w:r>
      <w:r w:rsidRPr="00B46C29">
        <w:rPr>
          <w:rFonts w:ascii="Tahoma" w:hAnsi="Tahoma" w:cs="Tahoma"/>
          <w:b/>
          <w:bCs/>
          <w:sz w:val="20"/>
        </w:rPr>
        <w:t xml:space="preserve">deverão estar </w:t>
      </w:r>
      <w:r w:rsidR="00B46C29" w:rsidRPr="00B46C29">
        <w:rPr>
          <w:rFonts w:ascii="Tahoma" w:hAnsi="Tahoma" w:cs="Tahoma"/>
          <w:b/>
          <w:bCs/>
          <w:sz w:val="20"/>
        </w:rPr>
        <w:t xml:space="preserve">com </w:t>
      </w:r>
      <w:r w:rsidR="00766F17" w:rsidRPr="00B46C29">
        <w:rPr>
          <w:rFonts w:ascii="Tahoma" w:hAnsi="Tahoma" w:cs="Tahoma"/>
          <w:b/>
          <w:bCs/>
          <w:sz w:val="20"/>
        </w:rPr>
        <w:t>a MAIORIA dos titulares</w:t>
      </w:r>
      <w:r w:rsidR="00913E65" w:rsidRPr="00B46C29">
        <w:rPr>
          <w:rFonts w:ascii="Tahoma" w:hAnsi="Tahoma" w:cs="Tahoma"/>
          <w:b/>
          <w:bCs/>
          <w:sz w:val="20"/>
        </w:rPr>
        <w:t xml:space="preserve"> </w:t>
      </w:r>
      <w:r w:rsidRPr="00B46C29">
        <w:rPr>
          <w:rFonts w:ascii="Tahoma" w:hAnsi="Tahoma" w:cs="Tahoma"/>
          <w:b/>
          <w:bCs/>
          <w:sz w:val="20"/>
        </w:rPr>
        <w:t>certificados</w:t>
      </w:r>
      <w:r w:rsidRPr="00B46C29">
        <w:rPr>
          <w:rFonts w:ascii="Tahoma" w:hAnsi="Tahoma" w:cs="Tahoma"/>
          <w:sz w:val="20"/>
        </w:rPr>
        <w:t xml:space="preserve"> </w:t>
      </w:r>
      <w:r w:rsidR="00913E65" w:rsidRPr="00B46C29">
        <w:rPr>
          <w:rFonts w:ascii="Tahoma" w:hAnsi="Tahoma" w:cs="Tahoma"/>
          <w:sz w:val="20"/>
        </w:rPr>
        <w:t>em exame de certificação organizado por entidade autônoma de reconhecida capacidade técnica</w:t>
      </w:r>
      <w:r w:rsidR="005D3A43">
        <w:rPr>
          <w:rFonts w:ascii="Tahoma" w:hAnsi="Tahoma" w:cs="Tahoma"/>
          <w:sz w:val="20"/>
        </w:rPr>
        <w:t>,</w:t>
      </w:r>
      <w:r w:rsidR="00913E65" w:rsidRPr="00B46C29">
        <w:rPr>
          <w:rFonts w:ascii="Tahoma" w:hAnsi="Tahoma" w:cs="Tahoma"/>
          <w:sz w:val="20"/>
        </w:rPr>
        <w:t xml:space="preserve"> cujo conteúdo abrangerá, no mínimo, o contido na Portaria M</w:t>
      </w:r>
      <w:r w:rsidR="00766F17" w:rsidRPr="00B46C29">
        <w:rPr>
          <w:rFonts w:ascii="Tahoma" w:hAnsi="Tahoma" w:cs="Tahoma"/>
          <w:sz w:val="20"/>
        </w:rPr>
        <w:t>PS</w:t>
      </w:r>
      <w:r w:rsidR="002104B1" w:rsidRPr="00B46C29">
        <w:rPr>
          <w:rFonts w:ascii="Tahoma" w:hAnsi="Tahoma" w:cs="Tahoma"/>
          <w:sz w:val="20"/>
        </w:rPr>
        <w:t xml:space="preserve"> nº</w:t>
      </w:r>
      <w:r w:rsidR="00913E65" w:rsidRPr="00B46C29">
        <w:rPr>
          <w:rFonts w:ascii="Tahoma" w:hAnsi="Tahoma" w:cs="Tahoma"/>
          <w:sz w:val="20"/>
        </w:rPr>
        <w:t xml:space="preserve"> </w:t>
      </w:r>
      <w:r w:rsidR="007F6D14" w:rsidRPr="00B46C29">
        <w:rPr>
          <w:rFonts w:ascii="Tahoma" w:hAnsi="Tahoma" w:cs="Tahoma"/>
          <w:sz w:val="20"/>
        </w:rPr>
        <w:t>1.4</w:t>
      </w:r>
      <w:r w:rsidR="00766F17" w:rsidRPr="00B46C29">
        <w:rPr>
          <w:rFonts w:ascii="Tahoma" w:hAnsi="Tahoma" w:cs="Tahoma"/>
          <w:sz w:val="20"/>
        </w:rPr>
        <w:t>99</w:t>
      </w:r>
      <w:r w:rsidR="00913E65" w:rsidRPr="00B46C29">
        <w:rPr>
          <w:rFonts w:ascii="Tahoma" w:hAnsi="Tahoma" w:cs="Tahoma"/>
          <w:sz w:val="20"/>
        </w:rPr>
        <w:t>/202</w:t>
      </w:r>
      <w:r w:rsidR="00766F17" w:rsidRPr="00B46C29">
        <w:rPr>
          <w:rFonts w:ascii="Tahoma" w:hAnsi="Tahoma" w:cs="Tahoma"/>
          <w:sz w:val="20"/>
        </w:rPr>
        <w:t>4</w:t>
      </w:r>
      <w:r w:rsidR="00913E65" w:rsidRPr="00B46C29">
        <w:rPr>
          <w:rFonts w:ascii="Tahoma" w:hAnsi="Tahoma" w:cs="Tahoma"/>
          <w:sz w:val="20"/>
        </w:rPr>
        <w:t>, em relação ao Art. 8º-B, da Lei nº 9.717, de 1998</w:t>
      </w:r>
      <w:r w:rsidRPr="00B46C29">
        <w:rPr>
          <w:rFonts w:ascii="Tahoma" w:hAnsi="Tahoma" w:cs="Tahoma"/>
          <w:sz w:val="20"/>
        </w:rPr>
        <w:t>.</w:t>
      </w:r>
      <w:r w:rsidR="00766F17" w:rsidRPr="00B46C29">
        <w:rPr>
          <w:rFonts w:ascii="Tahoma" w:hAnsi="Tahoma" w:cs="Tahoma"/>
          <w:sz w:val="20"/>
        </w:rPr>
        <w:t xml:space="preserve"> Os conselhos deverão estar no mínimo</w:t>
      </w:r>
      <w:r w:rsidR="00B46C29" w:rsidRPr="00B46C29">
        <w:rPr>
          <w:rFonts w:ascii="Tahoma" w:hAnsi="Tahoma" w:cs="Tahoma"/>
          <w:sz w:val="20"/>
        </w:rPr>
        <w:t xml:space="preserve"> com</w:t>
      </w:r>
      <w:r w:rsidR="00766F17" w:rsidRPr="00B46C29">
        <w:rPr>
          <w:rFonts w:ascii="Tahoma" w:hAnsi="Tahoma" w:cs="Tahoma"/>
          <w:sz w:val="20"/>
        </w:rPr>
        <w:t xml:space="preserve"> 1/3 </w:t>
      </w:r>
      <w:r w:rsidR="00B46C29" w:rsidRPr="00B46C29">
        <w:rPr>
          <w:rFonts w:ascii="Tahoma" w:hAnsi="Tahoma" w:cs="Tahoma"/>
          <w:sz w:val="20"/>
        </w:rPr>
        <w:t xml:space="preserve">dos membros titulares </w:t>
      </w:r>
      <w:r w:rsidR="00766F17" w:rsidRPr="00B46C29">
        <w:rPr>
          <w:rFonts w:ascii="Tahoma" w:hAnsi="Tahoma" w:cs="Tahoma"/>
          <w:sz w:val="20"/>
        </w:rPr>
        <w:t>certificado</w:t>
      </w:r>
      <w:r w:rsidR="005D3A43">
        <w:rPr>
          <w:rFonts w:ascii="Tahoma" w:hAnsi="Tahoma" w:cs="Tahoma"/>
          <w:sz w:val="20"/>
        </w:rPr>
        <w:t>s</w:t>
      </w:r>
      <w:r w:rsidR="00766F17" w:rsidRPr="00B46C29">
        <w:rPr>
          <w:rFonts w:ascii="Tahoma" w:hAnsi="Tahoma" w:cs="Tahoma"/>
          <w:sz w:val="20"/>
        </w:rPr>
        <w:t>.</w:t>
      </w:r>
      <w:r w:rsidR="00766F17">
        <w:rPr>
          <w:rFonts w:ascii="Tahoma" w:hAnsi="Tahoma" w:cs="Tahoma"/>
          <w:sz w:val="20"/>
        </w:rPr>
        <w:t xml:space="preserve"> </w:t>
      </w:r>
    </w:p>
    <w:p w14:paraId="18F3BE32" w14:textId="3F273F97" w:rsidR="00503F0C" w:rsidRDefault="00503F0C" w:rsidP="00AD12FB">
      <w:pPr>
        <w:spacing w:after="120"/>
        <w:ind w:firstLine="709"/>
        <w:jc w:val="both"/>
        <w:rPr>
          <w:rFonts w:ascii="Tahoma" w:hAnsi="Tahoma" w:cs="Tahoma"/>
          <w:sz w:val="20"/>
        </w:rPr>
      </w:pPr>
      <w:r w:rsidRPr="00766F17">
        <w:rPr>
          <w:rFonts w:ascii="Tahoma" w:hAnsi="Tahoma" w:cs="Tahoma"/>
          <w:sz w:val="20"/>
        </w:rPr>
        <w:t>A documentação comprobatória desta política anual de investimentos deverá permanecer à disposição dos órgãos de supervisão competentes. Igualmente, estes respectivos documentos devem ser disponibilizados aos seus segurados e pensionistas juntamente com as respectivas revisões, no prazo de trinta dias, contados da data da sua aprovação conforme Art. 148 da Portaria MTP</w:t>
      </w:r>
      <w:r w:rsidR="002104B1" w:rsidRPr="00766F17">
        <w:rPr>
          <w:rFonts w:ascii="Tahoma" w:hAnsi="Tahoma" w:cs="Tahoma"/>
          <w:sz w:val="20"/>
        </w:rPr>
        <w:t xml:space="preserve"> nº</w:t>
      </w:r>
      <w:r w:rsidRPr="00766F17">
        <w:rPr>
          <w:rFonts w:ascii="Tahoma" w:hAnsi="Tahoma" w:cs="Tahoma"/>
          <w:sz w:val="20"/>
        </w:rPr>
        <w:t xml:space="preserve"> </w:t>
      </w:r>
      <w:r w:rsidR="007F6D14" w:rsidRPr="00766F17">
        <w:rPr>
          <w:rFonts w:ascii="Tahoma" w:hAnsi="Tahoma" w:cs="Tahoma"/>
          <w:sz w:val="20"/>
        </w:rPr>
        <w:t>1.467</w:t>
      </w:r>
      <w:r w:rsidR="002104B1" w:rsidRPr="00766F17">
        <w:rPr>
          <w:rFonts w:ascii="Tahoma" w:hAnsi="Tahoma" w:cs="Tahoma"/>
          <w:sz w:val="20"/>
        </w:rPr>
        <w:t>/2022</w:t>
      </w:r>
      <w:r w:rsidRPr="00766F17">
        <w:rPr>
          <w:rFonts w:ascii="Tahoma" w:hAnsi="Tahoma" w:cs="Tahoma"/>
          <w:sz w:val="20"/>
        </w:rPr>
        <w:t>.</w:t>
      </w:r>
    </w:p>
    <w:p w14:paraId="59D43551" w14:textId="77777777" w:rsidR="00503F0C" w:rsidRPr="00766F17" w:rsidRDefault="00503F0C" w:rsidP="00EC5FD6">
      <w:pPr>
        <w:spacing w:after="120"/>
        <w:jc w:val="both"/>
        <w:rPr>
          <w:rFonts w:ascii="Tahoma" w:hAnsi="Tahoma" w:cs="Tahoma"/>
          <w:b/>
          <w:bCs/>
          <w:sz w:val="20"/>
        </w:rPr>
      </w:pPr>
      <w:r w:rsidRPr="00766F17">
        <w:rPr>
          <w:rFonts w:ascii="Tahoma" w:hAnsi="Tahoma" w:cs="Tahoma"/>
          <w:b/>
          <w:bCs/>
          <w:sz w:val="20"/>
        </w:rPr>
        <w:t>Transparência</w:t>
      </w:r>
    </w:p>
    <w:p w14:paraId="3D0E4442" w14:textId="3A18529D" w:rsidR="00503F0C" w:rsidRPr="00766F17" w:rsidRDefault="00503F0C" w:rsidP="00AD12FB">
      <w:pPr>
        <w:spacing w:after="120"/>
        <w:ind w:firstLine="709"/>
        <w:jc w:val="both"/>
        <w:rPr>
          <w:rFonts w:ascii="Tahoma" w:hAnsi="Tahoma" w:cs="Tahoma"/>
          <w:sz w:val="20"/>
        </w:rPr>
      </w:pPr>
      <w:r w:rsidRPr="00766F17">
        <w:rPr>
          <w:rFonts w:ascii="Tahoma" w:hAnsi="Tahoma" w:cs="Tahoma"/>
          <w:sz w:val="20"/>
        </w:rPr>
        <w:t>A PI além de estabelecer as diretrizes para o processo de tomada de decisão, conforme Art. 148</w:t>
      </w:r>
      <w:r w:rsidR="002104B1" w:rsidRPr="00766F17">
        <w:rPr>
          <w:rFonts w:ascii="Tahoma" w:hAnsi="Tahoma" w:cs="Tahoma"/>
          <w:sz w:val="20"/>
        </w:rPr>
        <w:t>,</w:t>
      </w:r>
      <w:r w:rsidRPr="00766F17">
        <w:rPr>
          <w:rFonts w:ascii="Tahoma" w:hAnsi="Tahoma" w:cs="Tahoma"/>
          <w:sz w:val="20"/>
        </w:rPr>
        <w:t xml:space="preserve"> da Portaria </w:t>
      </w:r>
      <w:r w:rsidR="002104B1" w:rsidRPr="00766F17">
        <w:rPr>
          <w:rFonts w:ascii="Tahoma" w:hAnsi="Tahoma" w:cs="Tahoma"/>
          <w:sz w:val="20"/>
        </w:rPr>
        <w:t xml:space="preserve">MTP nº </w:t>
      </w:r>
      <w:r w:rsidRPr="00766F17">
        <w:rPr>
          <w:rFonts w:ascii="Tahoma" w:hAnsi="Tahoma" w:cs="Tahoma"/>
          <w:sz w:val="20"/>
        </w:rPr>
        <w:t>1.467</w:t>
      </w:r>
      <w:r w:rsidR="002104B1" w:rsidRPr="00766F17">
        <w:rPr>
          <w:rFonts w:ascii="Tahoma" w:hAnsi="Tahoma" w:cs="Tahoma"/>
          <w:sz w:val="20"/>
        </w:rPr>
        <w:t>/2022,</w:t>
      </w:r>
      <w:r w:rsidRPr="00766F17">
        <w:rPr>
          <w:rFonts w:ascii="Tahoma" w:hAnsi="Tahoma" w:cs="Tahoma"/>
          <w:sz w:val="20"/>
        </w:rPr>
        <w:t xml:space="preserve"> busca ainda ter transparência </w:t>
      </w:r>
      <w:r w:rsidR="002104B1" w:rsidRPr="00766F17">
        <w:rPr>
          <w:rFonts w:ascii="Tahoma" w:hAnsi="Tahoma" w:cs="Tahoma"/>
          <w:sz w:val="20"/>
        </w:rPr>
        <w:t>na</w:t>
      </w:r>
      <w:r w:rsidRPr="00766F17">
        <w:rPr>
          <w:rFonts w:ascii="Tahoma" w:hAnsi="Tahoma" w:cs="Tahoma"/>
          <w:sz w:val="20"/>
        </w:rPr>
        <w:t xml:space="preserve"> gestão de investimentos do RPPS.</w:t>
      </w:r>
    </w:p>
    <w:p w14:paraId="675D7E07" w14:textId="3B1DCC57" w:rsidR="00503F0C" w:rsidRPr="00766F17" w:rsidRDefault="00503F0C" w:rsidP="00AD12FB">
      <w:pPr>
        <w:spacing w:after="120"/>
        <w:ind w:firstLine="709"/>
        <w:jc w:val="both"/>
        <w:rPr>
          <w:rFonts w:ascii="Tahoma" w:hAnsi="Tahoma" w:cs="Tahoma"/>
          <w:sz w:val="20"/>
          <w:szCs w:val="20"/>
        </w:rPr>
      </w:pPr>
      <w:r w:rsidRPr="00766F17">
        <w:rPr>
          <w:rFonts w:ascii="Tahoma" w:hAnsi="Tahoma" w:cs="Tahoma"/>
          <w:sz w:val="20"/>
          <w:szCs w:val="20"/>
        </w:rPr>
        <w:t>O Art. 148</w:t>
      </w:r>
      <w:r w:rsidR="002104B1" w:rsidRPr="00766F17">
        <w:rPr>
          <w:rFonts w:ascii="Tahoma" w:hAnsi="Tahoma" w:cs="Tahoma"/>
          <w:sz w:val="20"/>
        </w:rPr>
        <w:t>, da Portaria MTP nº 1.467/2022,</w:t>
      </w:r>
      <w:r w:rsidRPr="00766F17">
        <w:rPr>
          <w:rFonts w:ascii="Tahoma" w:hAnsi="Tahoma" w:cs="Tahoma"/>
          <w:sz w:val="20"/>
          <w:szCs w:val="20"/>
        </w:rPr>
        <w:t xml:space="preserve"> determina que o RPPS deverá disponibilizar aos segurados e beneficiários, no mínimo, os seguintes documentos e informações: </w:t>
      </w:r>
    </w:p>
    <w:p w14:paraId="08B8BB85" w14:textId="464A876D" w:rsidR="00503F0C" w:rsidRPr="00503F0C" w:rsidRDefault="00503F0C" w:rsidP="00AD12FB">
      <w:pPr>
        <w:spacing w:after="120"/>
        <w:ind w:firstLine="709"/>
        <w:jc w:val="both"/>
        <w:rPr>
          <w:rFonts w:ascii="Tahoma" w:hAnsi="Tahoma" w:cs="Tahoma"/>
          <w:sz w:val="20"/>
          <w:szCs w:val="20"/>
        </w:rPr>
      </w:pPr>
      <w:r w:rsidRPr="00766F17">
        <w:rPr>
          <w:rFonts w:ascii="Tahoma" w:hAnsi="Tahoma" w:cs="Tahoma"/>
          <w:sz w:val="20"/>
          <w:szCs w:val="20"/>
        </w:rPr>
        <w:lastRenderedPageBreak/>
        <w:t xml:space="preserve">I - </w:t>
      </w:r>
      <w:proofErr w:type="gramStart"/>
      <w:r w:rsidRPr="00766F17">
        <w:rPr>
          <w:rFonts w:ascii="Tahoma" w:hAnsi="Tahoma" w:cs="Tahoma"/>
          <w:sz w:val="20"/>
          <w:szCs w:val="20"/>
        </w:rPr>
        <w:t>a</w:t>
      </w:r>
      <w:proofErr w:type="gramEnd"/>
      <w:r w:rsidRPr="00766F17">
        <w:rPr>
          <w:rFonts w:ascii="Tahoma" w:hAnsi="Tahoma" w:cs="Tahoma"/>
          <w:sz w:val="20"/>
          <w:szCs w:val="20"/>
        </w:rPr>
        <w:t xml:space="preserve"> </w:t>
      </w:r>
      <w:r w:rsidR="007A0B11" w:rsidRPr="00766F17">
        <w:rPr>
          <w:rFonts w:ascii="Tahoma" w:hAnsi="Tahoma" w:cs="Tahoma"/>
          <w:sz w:val="20"/>
          <w:szCs w:val="20"/>
        </w:rPr>
        <w:t>Política de Investimentos</w:t>
      </w:r>
      <w:r w:rsidRPr="00766F17">
        <w:rPr>
          <w:rFonts w:ascii="Tahoma" w:hAnsi="Tahoma" w:cs="Tahoma"/>
          <w:sz w:val="20"/>
          <w:szCs w:val="20"/>
        </w:rPr>
        <w:t>, suas revisões e alterações, no prazo de até 30 (trinta) dias, a partir da data de sua aprovação;</w:t>
      </w:r>
      <w:r w:rsidRPr="00503F0C">
        <w:rPr>
          <w:rFonts w:ascii="Tahoma" w:hAnsi="Tahoma" w:cs="Tahoma"/>
          <w:sz w:val="20"/>
          <w:szCs w:val="20"/>
        </w:rPr>
        <w:t xml:space="preserve"> </w:t>
      </w:r>
    </w:p>
    <w:p w14:paraId="31FEA327" w14:textId="77777777" w:rsidR="00503F0C" w:rsidRPr="00766F17" w:rsidRDefault="00503F0C" w:rsidP="00AD12FB">
      <w:pPr>
        <w:spacing w:after="120"/>
        <w:ind w:firstLine="709"/>
        <w:jc w:val="both"/>
        <w:rPr>
          <w:rFonts w:ascii="Tahoma" w:hAnsi="Tahoma" w:cs="Tahoma"/>
          <w:sz w:val="20"/>
          <w:szCs w:val="20"/>
        </w:rPr>
      </w:pPr>
      <w:r w:rsidRPr="00503F0C">
        <w:rPr>
          <w:rFonts w:ascii="Tahoma" w:hAnsi="Tahoma" w:cs="Tahoma"/>
          <w:sz w:val="20"/>
          <w:szCs w:val="20"/>
        </w:rPr>
        <w:t xml:space="preserve">II - </w:t>
      </w:r>
      <w:proofErr w:type="gramStart"/>
      <w:r w:rsidRPr="00766F17">
        <w:rPr>
          <w:rFonts w:ascii="Tahoma" w:hAnsi="Tahoma" w:cs="Tahoma"/>
          <w:sz w:val="20"/>
          <w:szCs w:val="20"/>
        </w:rPr>
        <w:t>as</w:t>
      </w:r>
      <w:proofErr w:type="gramEnd"/>
      <w:r w:rsidRPr="00766F17">
        <w:rPr>
          <w:rFonts w:ascii="Tahoma" w:hAnsi="Tahoma" w:cs="Tahoma"/>
          <w:sz w:val="20"/>
          <w:szCs w:val="20"/>
        </w:rPr>
        <w:t xml:space="preserve"> informações contidas nos formulários APR, no prazo de até 30 (trinta) dias, contados da respectiva aplicação ou resgate; </w:t>
      </w:r>
    </w:p>
    <w:p w14:paraId="10C5CDBC" w14:textId="77777777" w:rsidR="00503F0C" w:rsidRPr="00766F17" w:rsidRDefault="00503F0C" w:rsidP="00AD12FB">
      <w:pPr>
        <w:spacing w:after="120"/>
        <w:ind w:firstLine="709"/>
        <w:jc w:val="both"/>
        <w:rPr>
          <w:rFonts w:ascii="Tahoma" w:hAnsi="Tahoma" w:cs="Tahoma"/>
          <w:sz w:val="20"/>
          <w:szCs w:val="20"/>
        </w:rPr>
      </w:pPr>
      <w:r w:rsidRPr="00766F17">
        <w:rPr>
          <w:rFonts w:ascii="Tahoma" w:hAnsi="Tahoma" w:cs="Tahoma"/>
          <w:sz w:val="20"/>
          <w:szCs w:val="20"/>
        </w:rPr>
        <w:t xml:space="preserve">III - a composição da carteira de investimentos do RPPS, no prazo de até 30 (trinta) dias após o encerramento do mês; </w:t>
      </w:r>
    </w:p>
    <w:p w14:paraId="0F72727A" w14:textId="77777777" w:rsidR="00503F0C" w:rsidRPr="00766F17" w:rsidRDefault="00503F0C" w:rsidP="00AD12FB">
      <w:pPr>
        <w:spacing w:after="120"/>
        <w:ind w:firstLine="709"/>
        <w:jc w:val="both"/>
        <w:rPr>
          <w:rFonts w:ascii="Tahoma" w:hAnsi="Tahoma" w:cs="Tahoma"/>
          <w:sz w:val="20"/>
          <w:szCs w:val="20"/>
        </w:rPr>
      </w:pPr>
      <w:r w:rsidRPr="00766F17">
        <w:rPr>
          <w:rFonts w:ascii="Tahoma" w:hAnsi="Tahoma" w:cs="Tahoma"/>
          <w:sz w:val="20"/>
          <w:szCs w:val="20"/>
        </w:rPr>
        <w:t xml:space="preserve">IV - </w:t>
      </w:r>
      <w:proofErr w:type="gramStart"/>
      <w:r w:rsidRPr="00766F17">
        <w:rPr>
          <w:rFonts w:ascii="Tahoma" w:hAnsi="Tahoma" w:cs="Tahoma"/>
          <w:sz w:val="20"/>
          <w:szCs w:val="20"/>
        </w:rPr>
        <w:t>os</w:t>
      </w:r>
      <w:proofErr w:type="gramEnd"/>
      <w:r w:rsidRPr="00766F17">
        <w:rPr>
          <w:rFonts w:ascii="Tahoma" w:hAnsi="Tahoma" w:cs="Tahoma"/>
          <w:sz w:val="20"/>
          <w:szCs w:val="20"/>
        </w:rPr>
        <w:t xml:space="preserve"> procedimentos de seleção das eventuais entidades autorizadas e credenciadas e de contratação de prestadores de serviços; </w:t>
      </w:r>
    </w:p>
    <w:p w14:paraId="349E693E" w14:textId="77777777" w:rsidR="00503F0C" w:rsidRPr="00766F17" w:rsidRDefault="00503F0C" w:rsidP="00AD12FB">
      <w:pPr>
        <w:spacing w:after="120"/>
        <w:ind w:firstLine="709"/>
        <w:jc w:val="both"/>
        <w:rPr>
          <w:rFonts w:ascii="Tahoma" w:hAnsi="Tahoma" w:cs="Tahoma"/>
          <w:sz w:val="20"/>
          <w:szCs w:val="20"/>
        </w:rPr>
      </w:pPr>
      <w:r w:rsidRPr="00766F17">
        <w:rPr>
          <w:rFonts w:ascii="Tahoma" w:hAnsi="Tahoma" w:cs="Tahoma"/>
          <w:sz w:val="20"/>
          <w:szCs w:val="20"/>
        </w:rPr>
        <w:t xml:space="preserve">V - </w:t>
      </w:r>
      <w:proofErr w:type="gramStart"/>
      <w:r w:rsidRPr="00766F17">
        <w:rPr>
          <w:rFonts w:ascii="Tahoma" w:hAnsi="Tahoma" w:cs="Tahoma"/>
          <w:sz w:val="20"/>
          <w:szCs w:val="20"/>
        </w:rPr>
        <w:t>as</w:t>
      </w:r>
      <w:proofErr w:type="gramEnd"/>
      <w:r w:rsidRPr="00766F17">
        <w:rPr>
          <w:rFonts w:ascii="Tahoma" w:hAnsi="Tahoma" w:cs="Tahoma"/>
          <w:sz w:val="20"/>
          <w:szCs w:val="20"/>
        </w:rPr>
        <w:t xml:space="preserve"> informações relativas ao processo de credenciamento de instituições para receber as aplicações dos recursos do RPPS; </w:t>
      </w:r>
    </w:p>
    <w:p w14:paraId="74A842DD" w14:textId="6B1EE4BA" w:rsidR="00503F0C" w:rsidRPr="00766F17" w:rsidRDefault="00503F0C" w:rsidP="00AD12FB">
      <w:pPr>
        <w:spacing w:after="120"/>
        <w:ind w:firstLine="709"/>
        <w:jc w:val="both"/>
        <w:rPr>
          <w:rFonts w:ascii="Tahoma" w:hAnsi="Tahoma" w:cs="Tahoma"/>
          <w:sz w:val="20"/>
          <w:szCs w:val="20"/>
        </w:rPr>
      </w:pPr>
      <w:r w:rsidRPr="00766F17">
        <w:rPr>
          <w:rFonts w:ascii="Tahoma" w:hAnsi="Tahoma" w:cs="Tahoma"/>
          <w:sz w:val="20"/>
          <w:szCs w:val="20"/>
        </w:rPr>
        <w:t xml:space="preserve">VI - </w:t>
      </w:r>
      <w:proofErr w:type="gramStart"/>
      <w:r w:rsidRPr="00766F17">
        <w:rPr>
          <w:rFonts w:ascii="Tahoma" w:hAnsi="Tahoma" w:cs="Tahoma"/>
          <w:sz w:val="20"/>
          <w:szCs w:val="20"/>
        </w:rPr>
        <w:t>a</w:t>
      </w:r>
      <w:proofErr w:type="gramEnd"/>
      <w:r w:rsidRPr="00766F17">
        <w:rPr>
          <w:rFonts w:ascii="Tahoma" w:hAnsi="Tahoma" w:cs="Tahoma"/>
          <w:sz w:val="20"/>
          <w:szCs w:val="20"/>
        </w:rPr>
        <w:t xml:space="preserve"> relação das entidades credenciadas para atuar com o RPPS e respectiva data de atualização do credenciamento. </w:t>
      </w:r>
    </w:p>
    <w:p w14:paraId="58992982" w14:textId="77777777" w:rsidR="00503F0C" w:rsidRPr="00766F17" w:rsidRDefault="00503F0C" w:rsidP="00AD12FB">
      <w:pPr>
        <w:spacing w:after="120"/>
        <w:ind w:firstLine="709"/>
        <w:jc w:val="both"/>
        <w:rPr>
          <w:rFonts w:ascii="Tahoma" w:hAnsi="Tahoma" w:cs="Tahoma"/>
          <w:sz w:val="20"/>
        </w:rPr>
      </w:pPr>
    </w:p>
    <w:p w14:paraId="201026BB" w14:textId="3A78D9FF" w:rsidR="00AC1722" w:rsidRPr="00766F17" w:rsidRDefault="00AC1722" w:rsidP="00AD12FB">
      <w:pPr>
        <w:spacing w:after="120"/>
        <w:ind w:firstLine="709"/>
        <w:jc w:val="both"/>
        <w:rPr>
          <w:rFonts w:ascii="Tahoma" w:hAnsi="Tahoma" w:cs="Tahoma"/>
          <w:sz w:val="20"/>
        </w:rPr>
      </w:pPr>
      <w:r w:rsidRPr="00766F17">
        <w:rPr>
          <w:rFonts w:ascii="Tahoma" w:hAnsi="Tahoma" w:cs="Tahoma"/>
          <w:sz w:val="20"/>
        </w:rPr>
        <w:t xml:space="preserve">E, por fim, esta </w:t>
      </w:r>
      <w:r w:rsidR="007A0B11" w:rsidRPr="00766F17">
        <w:rPr>
          <w:rFonts w:ascii="Tahoma" w:hAnsi="Tahoma" w:cs="Tahoma"/>
          <w:sz w:val="20"/>
        </w:rPr>
        <w:t>Política de Investimentos</w:t>
      </w:r>
      <w:r w:rsidRPr="00766F17">
        <w:rPr>
          <w:rFonts w:ascii="Tahoma" w:hAnsi="Tahoma" w:cs="Tahoma"/>
          <w:sz w:val="20"/>
        </w:rPr>
        <w:t xml:space="preserve"> atende às normas a seguir:</w:t>
      </w:r>
    </w:p>
    <w:p w14:paraId="26AA944D" w14:textId="236FCC0A" w:rsidR="00AC1722" w:rsidRPr="00766F17" w:rsidRDefault="00AC1722" w:rsidP="00AD12FB">
      <w:pPr>
        <w:spacing w:after="120"/>
        <w:ind w:firstLine="709"/>
        <w:jc w:val="both"/>
        <w:rPr>
          <w:rFonts w:ascii="Tahoma" w:hAnsi="Tahoma" w:cs="Tahoma"/>
          <w:sz w:val="20"/>
        </w:rPr>
      </w:pPr>
      <w:r w:rsidRPr="00766F17">
        <w:rPr>
          <w:rFonts w:ascii="Tahoma" w:hAnsi="Tahoma" w:cs="Tahoma"/>
          <w:sz w:val="20"/>
        </w:rPr>
        <w:t>•</w:t>
      </w:r>
      <w:r w:rsidRPr="00766F17">
        <w:rPr>
          <w:rFonts w:ascii="Tahoma" w:hAnsi="Tahoma" w:cs="Tahoma"/>
          <w:sz w:val="20"/>
        </w:rPr>
        <w:tab/>
        <w:t xml:space="preserve">Resolução do Conselho Monetário Nacional </w:t>
      </w:r>
      <w:r w:rsidR="002104B1" w:rsidRPr="00766F17">
        <w:rPr>
          <w:rFonts w:ascii="Tahoma" w:hAnsi="Tahoma" w:cs="Tahoma"/>
          <w:sz w:val="20"/>
        </w:rPr>
        <w:t>n</w:t>
      </w:r>
      <w:r w:rsidRPr="00766F17">
        <w:rPr>
          <w:rFonts w:ascii="Tahoma" w:hAnsi="Tahoma" w:cs="Tahoma"/>
          <w:sz w:val="20"/>
        </w:rPr>
        <w:t>º</w:t>
      </w:r>
      <w:r w:rsidR="002104B1" w:rsidRPr="00766F17">
        <w:rPr>
          <w:rFonts w:ascii="Tahoma" w:hAnsi="Tahoma" w:cs="Tahoma"/>
          <w:sz w:val="20"/>
        </w:rPr>
        <w:t xml:space="preserve"> </w:t>
      </w:r>
      <w:r w:rsidRPr="00766F17">
        <w:rPr>
          <w:rFonts w:ascii="Tahoma" w:hAnsi="Tahoma" w:cs="Tahoma"/>
          <w:sz w:val="20"/>
        </w:rPr>
        <w:t>4.963/2021;</w:t>
      </w:r>
    </w:p>
    <w:p w14:paraId="79080292" w14:textId="56339E84" w:rsidR="00AC1722" w:rsidRPr="00766F17" w:rsidRDefault="00AC1722" w:rsidP="00AD12FB">
      <w:pPr>
        <w:spacing w:after="120"/>
        <w:ind w:firstLine="709"/>
        <w:jc w:val="both"/>
        <w:rPr>
          <w:rFonts w:ascii="Tahoma" w:hAnsi="Tahoma" w:cs="Tahoma"/>
          <w:sz w:val="20"/>
        </w:rPr>
      </w:pPr>
      <w:r w:rsidRPr="00766F17">
        <w:rPr>
          <w:rFonts w:ascii="Tahoma" w:hAnsi="Tahoma" w:cs="Tahoma"/>
          <w:sz w:val="20"/>
        </w:rPr>
        <w:t>•</w:t>
      </w:r>
      <w:r w:rsidRPr="00766F17">
        <w:rPr>
          <w:rFonts w:ascii="Tahoma" w:hAnsi="Tahoma" w:cs="Tahoma"/>
          <w:sz w:val="20"/>
        </w:rPr>
        <w:tab/>
        <w:t>Portaria MTP</w:t>
      </w:r>
      <w:r w:rsidR="002104B1" w:rsidRPr="00766F17">
        <w:rPr>
          <w:rFonts w:ascii="Tahoma" w:hAnsi="Tahoma" w:cs="Tahoma"/>
          <w:sz w:val="20"/>
        </w:rPr>
        <w:t xml:space="preserve"> nº</w:t>
      </w:r>
      <w:r w:rsidRPr="00766F17">
        <w:rPr>
          <w:rFonts w:ascii="Tahoma" w:hAnsi="Tahoma" w:cs="Tahoma"/>
          <w:sz w:val="20"/>
        </w:rPr>
        <w:t xml:space="preserve"> </w:t>
      </w:r>
      <w:r w:rsidR="007F6D14" w:rsidRPr="00766F17">
        <w:rPr>
          <w:rFonts w:ascii="Tahoma" w:hAnsi="Tahoma" w:cs="Tahoma"/>
          <w:sz w:val="20"/>
        </w:rPr>
        <w:t>1.467</w:t>
      </w:r>
      <w:r w:rsidRPr="00766F17">
        <w:rPr>
          <w:rFonts w:ascii="Tahoma" w:hAnsi="Tahoma" w:cs="Tahoma"/>
          <w:sz w:val="20"/>
        </w:rPr>
        <w:t>/2022</w:t>
      </w:r>
      <w:r w:rsidR="005D3A43">
        <w:rPr>
          <w:rFonts w:ascii="Tahoma" w:hAnsi="Tahoma" w:cs="Tahoma"/>
          <w:sz w:val="20"/>
        </w:rPr>
        <w:t>;</w:t>
      </w:r>
    </w:p>
    <w:p w14:paraId="43578882" w14:textId="284CBE16" w:rsidR="00AC1722" w:rsidRPr="00766F17" w:rsidRDefault="00AC1722" w:rsidP="00AD12FB">
      <w:pPr>
        <w:spacing w:after="120"/>
        <w:ind w:firstLine="709"/>
        <w:jc w:val="both"/>
        <w:rPr>
          <w:rFonts w:ascii="Tahoma" w:hAnsi="Tahoma" w:cs="Tahoma"/>
          <w:sz w:val="20"/>
        </w:rPr>
      </w:pPr>
      <w:r w:rsidRPr="00766F17">
        <w:rPr>
          <w:rFonts w:ascii="Tahoma" w:hAnsi="Tahoma" w:cs="Tahoma"/>
          <w:sz w:val="20"/>
        </w:rPr>
        <w:t>•</w:t>
      </w:r>
      <w:r w:rsidRPr="00766F17">
        <w:rPr>
          <w:rFonts w:ascii="Tahoma" w:hAnsi="Tahoma" w:cs="Tahoma"/>
          <w:sz w:val="20"/>
        </w:rPr>
        <w:tab/>
        <w:t>Normas Gerais do RPPS ( Leis munici</w:t>
      </w:r>
      <w:r w:rsidR="00621CC7" w:rsidRPr="00766F17">
        <w:rPr>
          <w:rFonts w:ascii="Tahoma" w:hAnsi="Tahoma" w:cs="Tahoma"/>
          <w:sz w:val="20"/>
        </w:rPr>
        <w:t>p</w:t>
      </w:r>
      <w:r w:rsidR="002104B1" w:rsidRPr="00766F17">
        <w:rPr>
          <w:rFonts w:ascii="Tahoma" w:hAnsi="Tahoma" w:cs="Tahoma"/>
          <w:sz w:val="20"/>
        </w:rPr>
        <w:t>ai</w:t>
      </w:r>
      <w:r w:rsidR="00621CC7" w:rsidRPr="00766F17">
        <w:rPr>
          <w:rFonts w:ascii="Tahoma" w:hAnsi="Tahoma" w:cs="Tahoma"/>
          <w:sz w:val="20"/>
        </w:rPr>
        <w:t>s</w:t>
      </w:r>
      <w:r w:rsidRPr="00766F17">
        <w:rPr>
          <w:rFonts w:ascii="Tahoma" w:hAnsi="Tahoma" w:cs="Tahoma"/>
          <w:sz w:val="20"/>
        </w:rPr>
        <w:t xml:space="preserve"> da gestão do RPPS);</w:t>
      </w:r>
    </w:p>
    <w:p w14:paraId="101CCB9B" w14:textId="22F611C0" w:rsidR="00AC1722" w:rsidRPr="00766F17" w:rsidRDefault="00AC1722" w:rsidP="00AD12FB">
      <w:pPr>
        <w:spacing w:after="120"/>
        <w:ind w:firstLine="709"/>
        <w:jc w:val="both"/>
        <w:rPr>
          <w:rFonts w:ascii="Tahoma" w:hAnsi="Tahoma" w:cs="Tahoma"/>
          <w:sz w:val="20"/>
        </w:rPr>
      </w:pPr>
      <w:r w:rsidRPr="00766F17">
        <w:rPr>
          <w:rFonts w:ascii="Tahoma" w:hAnsi="Tahoma" w:cs="Tahoma"/>
          <w:sz w:val="20"/>
        </w:rPr>
        <w:t>•</w:t>
      </w:r>
      <w:r w:rsidRPr="00766F17">
        <w:rPr>
          <w:rFonts w:ascii="Tahoma" w:hAnsi="Tahoma" w:cs="Tahoma"/>
          <w:sz w:val="20"/>
        </w:rPr>
        <w:tab/>
        <w:t>Normas de Credenciamento determinada</w:t>
      </w:r>
      <w:r w:rsidR="002104B1" w:rsidRPr="00766F17">
        <w:rPr>
          <w:rFonts w:ascii="Tahoma" w:hAnsi="Tahoma" w:cs="Tahoma"/>
          <w:sz w:val="20"/>
        </w:rPr>
        <w:t>s</w:t>
      </w:r>
      <w:r w:rsidRPr="00766F17">
        <w:rPr>
          <w:rFonts w:ascii="Tahoma" w:hAnsi="Tahoma" w:cs="Tahoma"/>
          <w:sz w:val="20"/>
        </w:rPr>
        <w:t xml:space="preserve"> pel</w:t>
      </w:r>
      <w:r w:rsidR="002104B1" w:rsidRPr="00766F17">
        <w:rPr>
          <w:rFonts w:ascii="Tahoma" w:hAnsi="Tahoma" w:cs="Tahoma"/>
          <w:sz w:val="20"/>
        </w:rPr>
        <w:t>o</w:t>
      </w:r>
      <w:r w:rsidRPr="00766F17">
        <w:rPr>
          <w:rFonts w:ascii="Tahoma" w:hAnsi="Tahoma" w:cs="Tahoma"/>
          <w:sz w:val="20"/>
        </w:rPr>
        <w:t xml:space="preserve"> </w:t>
      </w:r>
      <w:r w:rsidR="00FA50ED" w:rsidRPr="00766F17">
        <w:rPr>
          <w:rFonts w:ascii="Tahoma" w:hAnsi="Tahoma" w:cs="Tahoma"/>
          <w:sz w:val="20"/>
        </w:rPr>
        <w:t>MPS</w:t>
      </w:r>
      <w:r w:rsidRPr="00766F17">
        <w:rPr>
          <w:rFonts w:ascii="Tahoma" w:hAnsi="Tahoma" w:cs="Tahoma"/>
          <w:sz w:val="20"/>
        </w:rPr>
        <w:t>;</w:t>
      </w:r>
    </w:p>
    <w:p w14:paraId="3BBBADC2" w14:textId="219C9594" w:rsidR="00AC1722" w:rsidRPr="00766F17" w:rsidRDefault="00AC1722" w:rsidP="00AD12FB">
      <w:pPr>
        <w:spacing w:after="120"/>
        <w:ind w:firstLine="709"/>
        <w:jc w:val="both"/>
        <w:rPr>
          <w:rFonts w:ascii="Tahoma" w:hAnsi="Tahoma" w:cs="Tahoma"/>
          <w:sz w:val="20"/>
        </w:rPr>
      </w:pPr>
      <w:r w:rsidRPr="00766F17">
        <w:rPr>
          <w:rFonts w:ascii="Tahoma" w:hAnsi="Tahoma" w:cs="Tahoma"/>
          <w:sz w:val="20"/>
        </w:rPr>
        <w:t>•</w:t>
      </w:r>
      <w:r w:rsidRPr="00766F17">
        <w:rPr>
          <w:rFonts w:ascii="Tahoma" w:hAnsi="Tahoma" w:cs="Tahoma"/>
          <w:sz w:val="20"/>
        </w:rPr>
        <w:tab/>
        <w:t>Normas da Comissão de Valores Mobiliários relativ</w:t>
      </w:r>
      <w:r w:rsidR="002104B1" w:rsidRPr="00766F17">
        <w:rPr>
          <w:rFonts w:ascii="Tahoma" w:hAnsi="Tahoma" w:cs="Tahoma"/>
          <w:sz w:val="20"/>
        </w:rPr>
        <w:t>as</w:t>
      </w:r>
      <w:r w:rsidRPr="00766F17">
        <w:rPr>
          <w:rFonts w:ascii="Tahoma" w:hAnsi="Tahoma" w:cs="Tahoma"/>
          <w:sz w:val="20"/>
        </w:rPr>
        <w:t xml:space="preserve"> aos Fundos de Investimentos;</w:t>
      </w:r>
    </w:p>
    <w:p w14:paraId="2A05CB03" w14:textId="77777777" w:rsidR="00AC1722" w:rsidRPr="00766F17" w:rsidRDefault="00AC1722" w:rsidP="00AD12FB">
      <w:pPr>
        <w:spacing w:after="120"/>
        <w:ind w:firstLine="709"/>
        <w:jc w:val="both"/>
        <w:rPr>
          <w:rFonts w:ascii="Tahoma" w:hAnsi="Tahoma" w:cs="Tahoma"/>
          <w:sz w:val="20"/>
        </w:rPr>
      </w:pPr>
      <w:r w:rsidRPr="00766F17">
        <w:rPr>
          <w:rFonts w:ascii="Tahoma" w:hAnsi="Tahoma" w:cs="Tahoma"/>
          <w:sz w:val="20"/>
        </w:rPr>
        <w:t>•</w:t>
      </w:r>
      <w:r w:rsidRPr="00766F17">
        <w:rPr>
          <w:rFonts w:ascii="Tahoma" w:hAnsi="Tahoma" w:cs="Tahoma"/>
          <w:sz w:val="20"/>
        </w:rPr>
        <w:tab/>
        <w:t>Normas do Banco Central do Brasil;</w:t>
      </w:r>
    </w:p>
    <w:p w14:paraId="5A81AEE6" w14:textId="0F230A0A" w:rsidR="00AC1722" w:rsidRPr="00766F17" w:rsidRDefault="00AC1722" w:rsidP="00AD12FB">
      <w:pPr>
        <w:spacing w:after="120"/>
        <w:ind w:firstLine="709"/>
        <w:jc w:val="both"/>
        <w:rPr>
          <w:rFonts w:ascii="Tahoma" w:hAnsi="Tahoma" w:cs="Tahoma"/>
          <w:sz w:val="20"/>
        </w:rPr>
      </w:pPr>
      <w:r w:rsidRPr="00766F17">
        <w:rPr>
          <w:rFonts w:ascii="Tahoma" w:hAnsi="Tahoma" w:cs="Tahoma"/>
          <w:sz w:val="20"/>
        </w:rPr>
        <w:t>•</w:t>
      </w:r>
      <w:r w:rsidRPr="00766F17">
        <w:rPr>
          <w:rFonts w:ascii="Tahoma" w:hAnsi="Tahoma" w:cs="Tahoma"/>
          <w:sz w:val="20"/>
        </w:rPr>
        <w:tab/>
        <w:t>Normas e Modelos da ANBIMA.</w:t>
      </w:r>
    </w:p>
    <w:p w14:paraId="206081F4" w14:textId="77777777" w:rsidR="00AC1722" w:rsidRPr="00766F17" w:rsidRDefault="00AC1722" w:rsidP="00AD12FB">
      <w:pPr>
        <w:spacing w:after="120"/>
        <w:ind w:firstLine="709"/>
        <w:jc w:val="both"/>
        <w:rPr>
          <w:rFonts w:ascii="Tahoma" w:hAnsi="Tahoma" w:cs="Tahoma"/>
          <w:sz w:val="20"/>
        </w:rPr>
      </w:pPr>
    </w:p>
    <w:p w14:paraId="78F6076D" w14:textId="44D6195F" w:rsidR="00465C63" w:rsidRPr="00766F17" w:rsidRDefault="00465C63" w:rsidP="00AD12FB">
      <w:pPr>
        <w:spacing w:after="120"/>
        <w:ind w:firstLine="709"/>
        <w:jc w:val="both"/>
        <w:rPr>
          <w:rFonts w:ascii="Tahoma" w:hAnsi="Tahoma" w:cs="Tahoma"/>
          <w:sz w:val="20"/>
        </w:rPr>
      </w:pPr>
      <w:r w:rsidRPr="00766F17">
        <w:rPr>
          <w:rFonts w:ascii="Tahoma" w:hAnsi="Tahoma" w:cs="Tahoma"/>
          <w:sz w:val="20"/>
        </w:rPr>
        <w:t xml:space="preserve">É parte integrante desta </w:t>
      </w:r>
      <w:r w:rsidR="007A0B11" w:rsidRPr="00766F17">
        <w:rPr>
          <w:rFonts w:ascii="Tahoma" w:hAnsi="Tahoma" w:cs="Tahoma"/>
          <w:sz w:val="20"/>
        </w:rPr>
        <w:t>Política de Investimentos</w:t>
      </w:r>
      <w:r w:rsidRPr="00766F17">
        <w:rPr>
          <w:rFonts w:ascii="Tahoma" w:hAnsi="Tahoma" w:cs="Tahoma"/>
          <w:sz w:val="20"/>
        </w:rPr>
        <w:t xml:space="preserve"> cópia da </w:t>
      </w:r>
      <w:r w:rsidRPr="00766F17">
        <w:rPr>
          <w:rFonts w:ascii="Tahoma" w:hAnsi="Tahoma" w:cs="Tahoma"/>
          <w:b/>
          <w:bCs/>
          <w:sz w:val="20"/>
        </w:rPr>
        <w:t>Ata</w:t>
      </w:r>
      <w:r w:rsidRPr="00766F17">
        <w:rPr>
          <w:rFonts w:ascii="Tahoma" w:hAnsi="Tahoma" w:cs="Tahoma"/>
          <w:sz w:val="20"/>
        </w:rPr>
        <w:t xml:space="preserve"> do </w:t>
      </w:r>
      <w:r w:rsidR="00A17DB5" w:rsidRPr="00766F17">
        <w:rPr>
          <w:rFonts w:ascii="Tahoma" w:hAnsi="Tahoma" w:cs="Tahoma"/>
          <w:b/>
          <w:bCs/>
          <w:sz w:val="20"/>
        </w:rPr>
        <w:fldChar w:fldCharType="begin"/>
      </w:r>
      <w:r w:rsidR="00A17DB5" w:rsidRPr="00766F17">
        <w:rPr>
          <w:rFonts w:ascii="Tahoma" w:hAnsi="Tahoma" w:cs="Tahoma"/>
          <w:b/>
          <w:bCs/>
          <w:sz w:val="20"/>
        </w:rPr>
        <w:instrText xml:space="preserve"> MERGEFIELD COMITÊ </w:instrText>
      </w:r>
      <w:r w:rsidR="00A17DB5" w:rsidRPr="00766F17">
        <w:rPr>
          <w:rFonts w:ascii="Tahoma" w:hAnsi="Tahoma" w:cs="Tahoma"/>
          <w:b/>
          <w:bCs/>
          <w:sz w:val="20"/>
        </w:rPr>
        <w:fldChar w:fldCharType="separate"/>
      </w:r>
      <w:r w:rsidR="00A14265" w:rsidRPr="00BC514D">
        <w:rPr>
          <w:rFonts w:ascii="Tahoma" w:hAnsi="Tahoma" w:cs="Tahoma"/>
          <w:b/>
          <w:bCs/>
          <w:noProof/>
          <w:sz w:val="20"/>
        </w:rPr>
        <w:t>COMITÊ DE INVESTIMENTOS</w:t>
      </w:r>
      <w:r w:rsidR="00A17DB5" w:rsidRPr="00766F17">
        <w:rPr>
          <w:rFonts w:ascii="Tahoma" w:hAnsi="Tahoma" w:cs="Tahoma"/>
          <w:b/>
          <w:bCs/>
          <w:sz w:val="20"/>
        </w:rPr>
        <w:fldChar w:fldCharType="end"/>
      </w:r>
      <w:r w:rsidR="00A17DB5" w:rsidRPr="00766F17">
        <w:rPr>
          <w:rFonts w:ascii="Tahoma" w:hAnsi="Tahoma" w:cs="Tahoma"/>
          <w:sz w:val="20"/>
        </w:rPr>
        <w:t xml:space="preserve"> e Ata do </w:t>
      </w:r>
      <w:r w:rsidR="00A17DB5" w:rsidRPr="00766F17">
        <w:rPr>
          <w:rFonts w:ascii="Tahoma" w:hAnsi="Tahoma" w:cs="Tahoma"/>
          <w:b/>
          <w:bCs/>
          <w:sz w:val="20"/>
        </w:rPr>
        <w:fldChar w:fldCharType="begin"/>
      </w:r>
      <w:r w:rsidR="00A17DB5" w:rsidRPr="00766F17">
        <w:rPr>
          <w:rFonts w:ascii="Tahoma" w:hAnsi="Tahoma" w:cs="Tahoma"/>
          <w:b/>
          <w:bCs/>
          <w:sz w:val="20"/>
        </w:rPr>
        <w:instrText xml:space="preserve"> MERGEFIELD CONSELHO </w:instrText>
      </w:r>
      <w:r w:rsidR="00A17DB5" w:rsidRPr="00766F17">
        <w:rPr>
          <w:rFonts w:ascii="Tahoma" w:hAnsi="Tahoma" w:cs="Tahoma"/>
          <w:b/>
          <w:bCs/>
          <w:sz w:val="20"/>
        </w:rPr>
        <w:fldChar w:fldCharType="separate"/>
      </w:r>
      <w:r w:rsidR="00A14265" w:rsidRPr="00BC514D">
        <w:rPr>
          <w:rFonts w:ascii="Tahoma" w:hAnsi="Tahoma" w:cs="Tahoma"/>
          <w:b/>
          <w:bCs/>
          <w:noProof/>
          <w:sz w:val="20"/>
        </w:rPr>
        <w:t>CONSELHO DE ADMINISTRAÇÃO DO FAPETRI</w:t>
      </w:r>
      <w:r w:rsidR="00A17DB5" w:rsidRPr="00766F17">
        <w:rPr>
          <w:rFonts w:ascii="Tahoma" w:hAnsi="Tahoma" w:cs="Tahoma"/>
          <w:b/>
          <w:bCs/>
          <w:sz w:val="20"/>
        </w:rPr>
        <w:fldChar w:fldCharType="end"/>
      </w:r>
      <w:r w:rsidRPr="00766F17">
        <w:rPr>
          <w:rFonts w:ascii="Tahoma" w:hAnsi="Tahoma" w:cs="Tahoma"/>
          <w:sz w:val="20"/>
        </w:rPr>
        <w:t xml:space="preserve"> que aprova</w:t>
      </w:r>
      <w:r w:rsidR="00A17DB5" w:rsidRPr="00766F17">
        <w:rPr>
          <w:rFonts w:ascii="Tahoma" w:hAnsi="Tahoma" w:cs="Tahoma"/>
          <w:sz w:val="20"/>
        </w:rPr>
        <w:t>m</w:t>
      </w:r>
      <w:r w:rsidRPr="00766F17">
        <w:rPr>
          <w:rFonts w:ascii="Tahoma" w:hAnsi="Tahoma" w:cs="Tahoma"/>
          <w:sz w:val="20"/>
        </w:rPr>
        <w:t xml:space="preserve"> o presente instrumento, devidamente assinada</w:t>
      </w:r>
      <w:r w:rsidR="002104B1" w:rsidRPr="00766F17">
        <w:rPr>
          <w:rFonts w:ascii="Tahoma" w:hAnsi="Tahoma" w:cs="Tahoma"/>
          <w:sz w:val="20"/>
        </w:rPr>
        <w:t>s</w:t>
      </w:r>
      <w:r w:rsidRPr="00766F17">
        <w:rPr>
          <w:rFonts w:ascii="Tahoma" w:hAnsi="Tahoma" w:cs="Tahoma"/>
          <w:sz w:val="20"/>
        </w:rPr>
        <w:t xml:space="preserve"> por seus membros.</w:t>
      </w:r>
    </w:p>
    <w:p w14:paraId="43AFC14C" w14:textId="77777777" w:rsidR="00AC1722" w:rsidRPr="00766F17" w:rsidRDefault="00AC1722" w:rsidP="00AD12FB">
      <w:pPr>
        <w:spacing w:after="120"/>
        <w:ind w:firstLine="709"/>
        <w:jc w:val="both"/>
        <w:rPr>
          <w:rFonts w:ascii="Tahoma" w:hAnsi="Tahoma" w:cs="Tahoma"/>
          <w:sz w:val="20"/>
        </w:rPr>
      </w:pPr>
    </w:p>
    <w:p w14:paraId="5D4215B6" w14:textId="3E5D772A" w:rsidR="00E16EDA" w:rsidRDefault="00465C63" w:rsidP="00E16EDA">
      <w:pPr>
        <w:spacing w:after="120"/>
        <w:ind w:firstLine="709"/>
        <w:jc w:val="both"/>
        <w:rPr>
          <w:rFonts w:ascii="Tahoma" w:hAnsi="Tahoma" w:cs="Tahoma"/>
          <w:sz w:val="20"/>
        </w:rPr>
      </w:pPr>
      <w:r w:rsidRPr="00766F17">
        <w:rPr>
          <w:rFonts w:ascii="Tahoma" w:hAnsi="Tahoma" w:cs="Tahoma"/>
          <w:sz w:val="20"/>
        </w:rPr>
        <w:t>O</w:t>
      </w:r>
      <w:r w:rsidRPr="00766F17">
        <w:rPr>
          <w:rFonts w:ascii="Tahoma" w:hAnsi="Tahoma" w:cs="Tahoma"/>
          <w:b/>
          <w:sz w:val="20"/>
        </w:rPr>
        <w:t xml:space="preserve"> </w:t>
      </w:r>
      <w:r w:rsidR="002D02EA" w:rsidRPr="00766F17">
        <w:rPr>
          <w:rFonts w:ascii="Tahoma" w:hAnsi="Tahoma" w:cs="Tahoma"/>
          <w:b/>
          <w:noProof/>
        </w:rPr>
        <w:fldChar w:fldCharType="begin"/>
      </w:r>
      <w:r w:rsidR="002D02EA" w:rsidRPr="00766F17">
        <w:rPr>
          <w:rFonts w:ascii="Tahoma" w:hAnsi="Tahoma" w:cs="Tahoma"/>
          <w:b/>
          <w:noProof/>
        </w:rPr>
        <w:instrText xml:space="preserve"> MERGEFIELD CONSELHO </w:instrText>
      </w:r>
      <w:r w:rsidR="002D02EA" w:rsidRPr="00766F17">
        <w:rPr>
          <w:rFonts w:ascii="Tahoma" w:hAnsi="Tahoma" w:cs="Tahoma"/>
          <w:b/>
          <w:noProof/>
        </w:rPr>
        <w:fldChar w:fldCharType="separate"/>
      </w:r>
      <w:r w:rsidR="00A14265" w:rsidRPr="00BC514D">
        <w:rPr>
          <w:rFonts w:ascii="Tahoma" w:hAnsi="Tahoma" w:cs="Tahoma"/>
          <w:b/>
          <w:noProof/>
        </w:rPr>
        <w:t>CONSELHO DE ADMINISTRAÇÃO DO FAPETRI</w:t>
      </w:r>
      <w:r w:rsidR="002D02EA" w:rsidRPr="00766F17">
        <w:rPr>
          <w:rFonts w:ascii="Tahoma" w:hAnsi="Tahoma" w:cs="Tahoma"/>
          <w:b/>
          <w:noProof/>
        </w:rPr>
        <w:fldChar w:fldCharType="end"/>
      </w:r>
      <w:r w:rsidRPr="00766F17">
        <w:rPr>
          <w:rFonts w:ascii="Tahoma" w:hAnsi="Tahoma" w:cs="Tahoma"/>
          <w:sz w:val="20"/>
        </w:rPr>
        <w:t xml:space="preserve">, no uso das atribuições que lhe são conferidas pelo </w:t>
      </w:r>
      <w:r w:rsidR="00876A03" w:rsidRPr="00766F17">
        <w:rPr>
          <w:rFonts w:ascii="Tahoma" w:hAnsi="Tahoma" w:cs="Tahoma"/>
          <w:b/>
          <w:bCs/>
          <w:noProof/>
          <w:sz w:val="20"/>
        </w:rPr>
        <w:fldChar w:fldCharType="begin"/>
      </w:r>
      <w:r w:rsidR="00876A03" w:rsidRPr="00766F17">
        <w:rPr>
          <w:rFonts w:ascii="Tahoma" w:hAnsi="Tahoma" w:cs="Tahoma"/>
          <w:b/>
          <w:bCs/>
          <w:noProof/>
          <w:sz w:val="20"/>
        </w:rPr>
        <w:instrText xml:space="preserve"> MERGEFIELD LEI </w:instrText>
      </w:r>
      <w:r w:rsidR="00876A03" w:rsidRPr="00766F17">
        <w:rPr>
          <w:rFonts w:ascii="Tahoma" w:hAnsi="Tahoma" w:cs="Tahoma"/>
          <w:b/>
          <w:bCs/>
          <w:noProof/>
          <w:sz w:val="20"/>
        </w:rPr>
        <w:fldChar w:fldCharType="separate"/>
      </w:r>
      <w:r w:rsidR="00A14265" w:rsidRPr="00BC514D">
        <w:rPr>
          <w:rFonts w:ascii="Tahoma" w:hAnsi="Tahoma" w:cs="Tahoma"/>
          <w:b/>
          <w:bCs/>
          <w:noProof/>
          <w:sz w:val="20"/>
        </w:rPr>
        <w:t>art. 26, da Lei nº 2.042, de 27 de setembro de 2005</w:t>
      </w:r>
      <w:r w:rsidR="00876A03" w:rsidRPr="00766F17">
        <w:rPr>
          <w:rFonts w:ascii="Tahoma" w:hAnsi="Tahoma" w:cs="Tahoma"/>
          <w:b/>
          <w:bCs/>
          <w:noProof/>
          <w:sz w:val="20"/>
        </w:rPr>
        <w:fldChar w:fldCharType="end"/>
      </w:r>
      <w:r w:rsidRPr="00766F17">
        <w:rPr>
          <w:rFonts w:ascii="Tahoma" w:hAnsi="Tahoma" w:cs="Tahoma"/>
          <w:sz w:val="20"/>
        </w:rPr>
        <w:t>, torna público que, em sessão realizada em ______________, com base no art. 4º Resolução CMN</w:t>
      </w:r>
      <w:r w:rsidR="002104B1" w:rsidRPr="00766F17">
        <w:rPr>
          <w:rFonts w:ascii="Tahoma" w:hAnsi="Tahoma" w:cs="Tahoma"/>
          <w:sz w:val="20"/>
        </w:rPr>
        <w:t xml:space="preserve"> nº</w:t>
      </w:r>
      <w:r w:rsidRPr="00766F17">
        <w:rPr>
          <w:rFonts w:ascii="Tahoma" w:hAnsi="Tahoma" w:cs="Tahoma"/>
          <w:sz w:val="20"/>
        </w:rPr>
        <w:t xml:space="preserve"> </w:t>
      </w:r>
      <w:r w:rsidR="00236C13" w:rsidRPr="00766F17">
        <w:rPr>
          <w:rFonts w:ascii="Tahoma" w:hAnsi="Tahoma" w:cs="Tahoma"/>
          <w:sz w:val="20"/>
        </w:rPr>
        <w:t>4.963</w:t>
      </w:r>
      <w:r w:rsidRPr="00766F17">
        <w:rPr>
          <w:rFonts w:ascii="Tahoma" w:hAnsi="Tahoma" w:cs="Tahoma"/>
          <w:sz w:val="20"/>
        </w:rPr>
        <w:t>/20</w:t>
      </w:r>
      <w:r w:rsidR="00236C13" w:rsidRPr="00766F17">
        <w:rPr>
          <w:rFonts w:ascii="Tahoma" w:hAnsi="Tahoma" w:cs="Tahoma"/>
          <w:sz w:val="20"/>
        </w:rPr>
        <w:t>21</w:t>
      </w:r>
      <w:r w:rsidRPr="00766F17">
        <w:rPr>
          <w:rFonts w:ascii="Tahoma" w:hAnsi="Tahoma" w:cs="Tahoma"/>
          <w:sz w:val="20"/>
        </w:rPr>
        <w:t xml:space="preserve">, APROVA esta </w:t>
      </w:r>
      <w:r w:rsidR="007A0B11" w:rsidRPr="00766F17">
        <w:rPr>
          <w:rFonts w:ascii="Tahoma" w:hAnsi="Tahoma" w:cs="Tahoma"/>
          <w:sz w:val="20"/>
        </w:rPr>
        <w:t>POLÍTICA DE INVESTIMENTOS</w:t>
      </w:r>
      <w:r w:rsidRPr="00766F17">
        <w:rPr>
          <w:rFonts w:ascii="Tahoma" w:hAnsi="Tahoma" w:cs="Tahoma"/>
          <w:sz w:val="20"/>
        </w:rPr>
        <w:t xml:space="preserve"> referente ao </w:t>
      </w:r>
      <w:r w:rsidRPr="00766F17">
        <w:rPr>
          <w:rFonts w:ascii="Tahoma" w:hAnsi="Tahoma" w:cs="Tahoma"/>
          <w:b/>
          <w:bCs/>
          <w:sz w:val="20"/>
        </w:rPr>
        <w:t>EXERCÍCIO DE 202</w:t>
      </w:r>
      <w:r w:rsidR="00E16EDA" w:rsidRPr="00766F17">
        <w:rPr>
          <w:rFonts w:ascii="Tahoma" w:hAnsi="Tahoma" w:cs="Tahoma"/>
          <w:b/>
          <w:bCs/>
          <w:sz w:val="20"/>
        </w:rPr>
        <w:t>5</w:t>
      </w:r>
      <w:r w:rsidRPr="00766F17">
        <w:rPr>
          <w:rFonts w:ascii="Tahoma" w:hAnsi="Tahoma" w:cs="Tahoma"/>
          <w:sz w:val="20"/>
        </w:rPr>
        <w:t>.</w:t>
      </w:r>
    </w:p>
    <w:p w14:paraId="5404CA83" w14:textId="77777777" w:rsidR="004D70B5" w:rsidRDefault="004D70B5" w:rsidP="00E16EDA">
      <w:pPr>
        <w:spacing w:after="120"/>
        <w:ind w:firstLine="709"/>
        <w:jc w:val="both"/>
        <w:rPr>
          <w:rFonts w:ascii="Tahoma" w:hAnsi="Tahoma" w:cs="Tahoma"/>
          <w:sz w:val="20"/>
        </w:rPr>
      </w:pPr>
    </w:p>
    <w:tbl>
      <w:tblPr>
        <w:tblStyle w:val="Tabelacomgrade"/>
        <w:tblW w:w="0" w:type="auto"/>
        <w:tblLook w:val="04A0" w:firstRow="1" w:lastRow="0" w:firstColumn="1" w:lastColumn="0" w:noHBand="0" w:noVBand="1"/>
      </w:tblPr>
      <w:tblGrid>
        <w:gridCol w:w="4530"/>
        <w:gridCol w:w="4531"/>
      </w:tblGrid>
      <w:tr w:rsidR="004D70B5" w14:paraId="7EBEEB6F" w14:textId="77777777" w:rsidTr="004D70B5">
        <w:trPr>
          <w:trHeight w:val="1300"/>
        </w:trPr>
        <w:tc>
          <w:tcPr>
            <w:tcW w:w="4530" w:type="dxa"/>
          </w:tcPr>
          <w:p w14:paraId="03932DA2" w14:textId="405DFAD4" w:rsidR="004D70B5" w:rsidRDefault="004D70B5" w:rsidP="00A50E9C">
            <w:pPr>
              <w:spacing w:after="120"/>
              <w:jc w:val="both"/>
              <w:rPr>
                <w:rFonts w:ascii="Tahoma" w:hAnsi="Tahoma" w:cs="Tahoma"/>
                <w:sz w:val="20"/>
              </w:rPr>
            </w:pPr>
            <w:r>
              <w:rPr>
                <w:rFonts w:ascii="Tahoma" w:hAnsi="Tahoma" w:cs="Tahoma"/>
                <w:sz w:val="20"/>
              </w:rPr>
              <w:t>Ass.:</w:t>
            </w:r>
          </w:p>
        </w:tc>
        <w:tc>
          <w:tcPr>
            <w:tcW w:w="4531" w:type="dxa"/>
          </w:tcPr>
          <w:p w14:paraId="404A5580" w14:textId="36E5E270" w:rsidR="004D70B5" w:rsidRDefault="004D70B5" w:rsidP="00A50E9C">
            <w:pPr>
              <w:spacing w:after="120"/>
              <w:jc w:val="both"/>
              <w:rPr>
                <w:rFonts w:ascii="Tahoma" w:hAnsi="Tahoma" w:cs="Tahoma"/>
                <w:sz w:val="20"/>
              </w:rPr>
            </w:pPr>
            <w:r>
              <w:rPr>
                <w:rFonts w:ascii="Tahoma" w:hAnsi="Tahoma" w:cs="Tahoma"/>
                <w:sz w:val="20"/>
              </w:rPr>
              <w:t>Ass.:</w:t>
            </w:r>
          </w:p>
        </w:tc>
      </w:tr>
      <w:tr w:rsidR="004D70B5" w14:paraId="394747CB" w14:textId="77777777" w:rsidTr="004D70B5">
        <w:tc>
          <w:tcPr>
            <w:tcW w:w="4530" w:type="dxa"/>
          </w:tcPr>
          <w:p w14:paraId="7D5AFCA7" w14:textId="1B36A005" w:rsidR="004D70B5" w:rsidRDefault="004D70B5" w:rsidP="004D70B5">
            <w:pPr>
              <w:spacing w:after="120"/>
              <w:jc w:val="center"/>
              <w:rPr>
                <w:rFonts w:ascii="Tahoma" w:hAnsi="Tahoma" w:cs="Tahoma"/>
                <w:sz w:val="20"/>
              </w:rPr>
            </w:pPr>
            <w:r w:rsidRPr="00B46C29">
              <w:rPr>
                <w:rFonts w:ascii="Tahoma" w:hAnsi="Tahoma" w:cs="Tahoma"/>
                <w:sz w:val="18"/>
              </w:rPr>
              <w:t>Gestor de Investimentos</w:t>
            </w:r>
          </w:p>
        </w:tc>
        <w:tc>
          <w:tcPr>
            <w:tcW w:w="4531" w:type="dxa"/>
          </w:tcPr>
          <w:p w14:paraId="269B9246" w14:textId="59B14153" w:rsidR="004D70B5" w:rsidRDefault="004D70B5" w:rsidP="004D70B5">
            <w:pPr>
              <w:spacing w:after="120"/>
              <w:jc w:val="center"/>
              <w:rPr>
                <w:rFonts w:ascii="Tahoma" w:hAnsi="Tahoma" w:cs="Tahoma"/>
                <w:sz w:val="20"/>
              </w:rPr>
            </w:pPr>
            <w:r>
              <w:rPr>
                <w:rFonts w:ascii="Tahoma" w:hAnsi="Tahoma" w:cs="Tahoma"/>
                <w:sz w:val="18"/>
              </w:rPr>
              <w:t>Responsável pela Unidade Gestora</w:t>
            </w:r>
          </w:p>
        </w:tc>
      </w:tr>
      <w:tr w:rsidR="004D70B5" w14:paraId="3F148515" w14:textId="77777777" w:rsidTr="004D70B5">
        <w:tc>
          <w:tcPr>
            <w:tcW w:w="4530" w:type="dxa"/>
          </w:tcPr>
          <w:p w14:paraId="7E9A11B5" w14:textId="1C30151D" w:rsidR="004D70B5" w:rsidRDefault="004D70B5" w:rsidP="004D70B5">
            <w:pPr>
              <w:spacing w:after="120"/>
              <w:jc w:val="center"/>
              <w:rPr>
                <w:rFonts w:ascii="Tahoma" w:hAnsi="Tahoma" w:cs="Tahoma"/>
                <w:sz w:val="20"/>
              </w:rPr>
            </w:pPr>
            <w:r>
              <w:rPr>
                <w:rFonts w:ascii="Tahoma" w:hAnsi="Tahoma" w:cs="Tahoma"/>
                <w:b/>
                <w:noProof/>
                <w:sz w:val="18"/>
                <w:szCs w:val="18"/>
              </w:rPr>
              <w:fldChar w:fldCharType="begin"/>
            </w:r>
            <w:r>
              <w:rPr>
                <w:rFonts w:ascii="Tahoma" w:hAnsi="Tahoma" w:cs="Tahoma"/>
                <w:b/>
                <w:noProof/>
                <w:sz w:val="18"/>
                <w:szCs w:val="18"/>
              </w:rPr>
              <w:instrText xml:space="preserve"> MERGEFIELD PROFISSIONAL_CERTIFICADO </w:instrText>
            </w:r>
            <w:r>
              <w:rPr>
                <w:rFonts w:ascii="Tahoma" w:hAnsi="Tahoma" w:cs="Tahoma"/>
                <w:b/>
                <w:noProof/>
                <w:sz w:val="18"/>
                <w:szCs w:val="18"/>
              </w:rPr>
              <w:fldChar w:fldCharType="separate"/>
            </w:r>
            <w:r w:rsidR="009557BB" w:rsidRPr="00BC514D">
              <w:rPr>
                <w:rFonts w:ascii="Tahoma" w:hAnsi="Tahoma" w:cs="Tahoma"/>
                <w:b/>
                <w:noProof/>
                <w:sz w:val="18"/>
                <w:szCs w:val="18"/>
              </w:rPr>
              <w:t>MARCELLA SELBACH GARCIA WOLF</w:t>
            </w:r>
            <w:r>
              <w:rPr>
                <w:rFonts w:ascii="Tahoma" w:hAnsi="Tahoma" w:cs="Tahoma"/>
                <w:b/>
                <w:noProof/>
                <w:sz w:val="18"/>
                <w:szCs w:val="18"/>
              </w:rPr>
              <w:fldChar w:fldCharType="end"/>
            </w:r>
          </w:p>
        </w:tc>
        <w:tc>
          <w:tcPr>
            <w:tcW w:w="4531" w:type="dxa"/>
          </w:tcPr>
          <w:p w14:paraId="77A63A39" w14:textId="0119E058" w:rsidR="004D70B5" w:rsidRDefault="004D70B5" w:rsidP="004D70B5">
            <w:pPr>
              <w:spacing w:after="120"/>
              <w:jc w:val="center"/>
              <w:rPr>
                <w:rFonts w:ascii="Tahoma" w:hAnsi="Tahoma" w:cs="Tahoma"/>
                <w:sz w:val="20"/>
              </w:rPr>
            </w:pPr>
            <w:r w:rsidRPr="00A17DB5">
              <w:rPr>
                <w:rFonts w:ascii="Tahoma" w:hAnsi="Tahoma" w:cs="Tahoma"/>
                <w:b/>
                <w:bCs/>
                <w:sz w:val="18"/>
              </w:rPr>
              <w:fldChar w:fldCharType="begin"/>
            </w:r>
            <w:r w:rsidRPr="00A17DB5">
              <w:rPr>
                <w:rFonts w:ascii="Tahoma" w:hAnsi="Tahoma" w:cs="Tahoma"/>
                <w:b/>
                <w:bCs/>
                <w:sz w:val="18"/>
              </w:rPr>
              <w:instrText xml:space="preserve"> MERGEFIELD PRESIDENTE </w:instrText>
            </w:r>
            <w:r w:rsidRPr="00A17DB5">
              <w:rPr>
                <w:rFonts w:ascii="Tahoma" w:hAnsi="Tahoma" w:cs="Tahoma"/>
                <w:b/>
                <w:bCs/>
                <w:sz w:val="18"/>
              </w:rPr>
              <w:fldChar w:fldCharType="separate"/>
            </w:r>
            <w:r w:rsidR="00A14265" w:rsidRPr="00BC514D">
              <w:rPr>
                <w:rFonts w:ascii="Tahoma" w:hAnsi="Tahoma" w:cs="Tahoma"/>
                <w:b/>
                <w:bCs/>
                <w:noProof/>
                <w:sz w:val="18"/>
              </w:rPr>
              <w:t>VANESSA DIAS RAYTHZ</w:t>
            </w:r>
            <w:r w:rsidRPr="00A17DB5">
              <w:rPr>
                <w:rFonts w:ascii="Tahoma" w:hAnsi="Tahoma" w:cs="Tahoma"/>
                <w:b/>
                <w:bCs/>
                <w:sz w:val="18"/>
              </w:rPr>
              <w:fldChar w:fldCharType="end"/>
            </w:r>
          </w:p>
        </w:tc>
      </w:tr>
    </w:tbl>
    <w:p w14:paraId="00E95AA6" w14:textId="77777777" w:rsidR="007E1FF6" w:rsidRDefault="007E1FF6" w:rsidP="00A50E9C">
      <w:pPr>
        <w:spacing w:after="120"/>
        <w:jc w:val="both"/>
        <w:rPr>
          <w:rFonts w:ascii="Tahoma" w:hAnsi="Tahoma" w:cs="Tahoma"/>
          <w:sz w:val="20"/>
        </w:rPr>
      </w:pPr>
    </w:p>
    <w:bookmarkStart w:id="47" w:name="_Toc181542592"/>
    <w:p w14:paraId="765A3796" w14:textId="19E8642E" w:rsidR="00BE2837" w:rsidRPr="007D4405" w:rsidRDefault="00197818" w:rsidP="000C021C">
      <w:pPr>
        <w:pStyle w:val="Ttulo2"/>
        <w:jc w:val="center"/>
        <w:rPr>
          <w:rFonts w:ascii="Tahoma" w:hAnsi="Tahoma" w:cs="Tahoma"/>
          <w:b/>
          <w:bCs/>
          <w:sz w:val="36"/>
          <w:szCs w:val="40"/>
        </w:rPr>
      </w:pPr>
      <w:r w:rsidRPr="00E4782B">
        <w:object w:dxaOrig="2425" w:dyaOrig="2598" w14:anchorId="5D261EB2">
          <v:shape id="_x0000_i1074" type="#_x0000_t75" style="width:9.75pt;height:9pt" o:ole="">
            <v:imagedata r:id="rId11" o:title=""/>
          </v:shape>
          <o:OLEObject Type="Embed" ProgID="CorelDRAW.Graphic.13" ShapeID="_x0000_i1074" DrawAspect="Content" ObjectID="_1793685947" r:id="rId76"/>
        </w:object>
      </w:r>
      <w:r w:rsidR="00BE2837" w:rsidRPr="00197818">
        <w:rPr>
          <w:rFonts w:ascii="Tahoma" w:eastAsiaTheme="minorEastAsia" w:hAnsi="Tahoma" w:cs="Tahoma"/>
          <w:b/>
          <w:color w:val="002060"/>
          <w:sz w:val="32"/>
          <w:szCs w:val="36"/>
        </w:rPr>
        <w:t>ANEXO I</w:t>
      </w:r>
      <w:bookmarkEnd w:id="47"/>
      <w:r w:rsidRPr="00E8601E">
        <w:rPr>
          <w:sz w:val="22"/>
        </w:rPr>
        <w:object w:dxaOrig="3163" w:dyaOrig="3187" w14:anchorId="04B59690">
          <v:shape id="_x0000_i1075" type="#_x0000_t75" style="width:21.75pt;height:23.25pt" o:ole="">
            <v:imagedata r:id="rId13" o:title=""/>
          </v:shape>
          <o:OLEObject Type="Embed" ProgID="CorelDRAW.Graphic.13" ShapeID="_x0000_i1075" DrawAspect="Content" ObjectID="_1793685948" r:id="rId77"/>
        </w:object>
      </w:r>
    </w:p>
    <w:p w14:paraId="5221FC16" w14:textId="70FBB20B" w:rsidR="005E6436" w:rsidRPr="00BE2837" w:rsidRDefault="009557BB" w:rsidP="00A50E9C">
      <w:pPr>
        <w:spacing w:after="120"/>
        <w:jc w:val="center"/>
        <w:rPr>
          <w:rFonts w:ascii="Tahoma" w:hAnsi="Tahoma" w:cs="Tahoma"/>
          <w:b/>
          <w:bCs/>
          <w:sz w:val="20"/>
        </w:rPr>
      </w:pPr>
      <w:r w:rsidRPr="009557BB">
        <w:rPr>
          <w:noProof/>
        </w:rPr>
        <w:drawing>
          <wp:inline distT="0" distB="0" distL="0" distR="0" wp14:anchorId="754D8E8F" wp14:editId="2374EE26">
            <wp:extent cx="5760085" cy="3931285"/>
            <wp:effectExtent l="0" t="0" r="0" b="0"/>
            <wp:docPr id="1422483381"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5760085" cy="3931285"/>
                    </a:xfrm>
                    <a:prstGeom prst="rect">
                      <a:avLst/>
                    </a:prstGeom>
                    <a:noFill/>
                    <a:ln>
                      <a:noFill/>
                    </a:ln>
                  </pic:spPr>
                </pic:pic>
              </a:graphicData>
            </a:graphic>
          </wp:inline>
        </w:drawing>
      </w:r>
    </w:p>
    <w:sectPr w:rsidR="005E6436" w:rsidRPr="00BE2837" w:rsidSect="000F7FA7">
      <w:footerReference w:type="default" r:id="rId79"/>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DC5B2D" w14:textId="77777777" w:rsidR="00E22888" w:rsidRDefault="00E22888" w:rsidP="00D87192">
      <w:pPr>
        <w:spacing w:after="0" w:line="240" w:lineRule="auto"/>
      </w:pPr>
      <w:r>
        <w:separator/>
      </w:r>
    </w:p>
    <w:p w14:paraId="63A289D0" w14:textId="77777777" w:rsidR="00E22888" w:rsidRDefault="00E22888"/>
    <w:p w14:paraId="6D8DE0CD" w14:textId="77777777" w:rsidR="00E22888" w:rsidRDefault="00E22888" w:rsidP="006F780A"/>
    <w:p w14:paraId="76F61C6B" w14:textId="77777777" w:rsidR="00E22888" w:rsidRDefault="00E22888" w:rsidP="006F780A"/>
  </w:endnote>
  <w:endnote w:type="continuationSeparator" w:id="0">
    <w:p w14:paraId="411C342F" w14:textId="77777777" w:rsidR="00E22888" w:rsidRDefault="00E22888" w:rsidP="00D87192">
      <w:pPr>
        <w:spacing w:after="0" w:line="240" w:lineRule="auto"/>
      </w:pPr>
      <w:r>
        <w:continuationSeparator/>
      </w:r>
    </w:p>
    <w:p w14:paraId="720AD2E0" w14:textId="77777777" w:rsidR="00E22888" w:rsidRDefault="00E22888"/>
    <w:p w14:paraId="2448D97B" w14:textId="77777777" w:rsidR="00E22888" w:rsidRDefault="00E22888" w:rsidP="006F780A"/>
    <w:p w14:paraId="19CC1223" w14:textId="77777777" w:rsidR="00E22888" w:rsidRDefault="00E22888" w:rsidP="006F78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7CB7FE" w14:textId="77777777" w:rsidR="007A0B11" w:rsidRPr="00B96866" w:rsidRDefault="00000000">
    <w:pPr>
      <w:pStyle w:val="Rodap"/>
      <w:jc w:val="right"/>
      <w:rPr>
        <w:color w:val="808080" w:themeColor="background1" w:themeShade="80"/>
        <w:sz w:val="16"/>
        <w:szCs w:val="16"/>
      </w:rPr>
    </w:pPr>
    <w:sdt>
      <w:sdtPr>
        <w:id w:val="-705101851"/>
        <w:docPartObj>
          <w:docPartGallery w:val="Page Numbers (Bottom of Page)"/>
          <w:docPartUnique/>
        </w:docPartObj>
      </w:sdtPr>
      <w:sdtEndPr>
        <w:rPr>
          <w:rFonts w:ascii="Tahoma" w:hAnsi="Tahoma" w:cs="Tahoma"/>
          <w:color w:val="808080" w:themeColor="background1" w:themeShade="80"/>
          <w:sz w:val="16"/>
          <w:szCs w:val="16"/>
        </w:rPr>
      </w:sdtEndPr>
      <w:sdtContent>
        <w:r w:rsidR="007A0B11" w:rsidRPr="00B96866">
          <w:rPr>
            <w:rFonts w:ascii="Tahoma" w:hAnsi="Tahoma" w:cs="Tahoma"/>
            <w:color w:val="808080" w:themeColor="background1" w:themeShade="80"/>
            <w:sz w:val="16"/>
            <w:szCs w:val="16"/>
          </w:rPr>
          <w:fldChar w:fldCharType="begin"/>
        </w:r>
        <w:r w:rsidR="007A0B11" w:rsidRPr="00B96866">
          <w:rPr>
            <w:rFonts w:ascii="Tahoma" w:hAnsi="Tahoma" w:cs="Tahoma"/>
            <w:color w:val="808080" w:themeColor="background1" w:themeShade="80"/>
            <w:sz w:val="16"/>
            <w:szCs w:val="16"/>
          </w:rPr>
          <w:instrText xml:space="preserve"> PAGE   \* MERGEFORMAT </w:instrText>
        </w:r>
        <w:r w:rsidR="007A0B11" w:rsidRPr="00B96866">
          <w:rPr>
            <w:rFonts w:ascii="Tahoma" w:hAnsi="Tahoma" w:cs="Tahoma"/>
            <w:color w:val="808080" w:themeColor="background1" w:themeShade="80"/>
            <w:sz w:val="16"/>
            <w:szCs w:val="16"/>
          </w:rPr>
          <w:fldChar w:fldCharType="separate"/>
        </w:r>
        <w:r w:rsidR="007A0B11">
          <w:rPr>
            <w:rFonts w:ascii="Tahoma" w:hAnsi="Tahoma" w:cs="Tahoma"/>
            <w:noProof/>
            <w:color w:val="808080" w:themeColor="background1" w:themeShade="80"/>
            <w:sz w:val="16"/>
            <w:szCs w:val="16"/>
          </w:rPr>
          <w:t>35</w:t>
        </w:r>
        <w:r w:rsidR="007A0B11" w:rsidRPr="00B96866">
          <w:rPr>
            <w:rFonts w:ascii="Tahoma" w:hAnsi="Tahoma" w:cs="Tahoma"/>
            <w:color w:val="808080" w:themeColor="background1" w:themeShade="80"/>
            <w:sz w:val="16"/>
            <w:szCs w:val="16"/>
          </w:rPr>
          <w:fldChar w:fldCharType="end"/>
        </w:r>
        <w:r w:rsidR="007A0B11" w:rsidRPr="002804C5">
          <w:rPr>
            <w:noProof/>
          </w:rPr>
          <w:t xml:space="preserve"> </w:t>
        </w:r>
      </w:sdtContent>
    </w:sdt>
  </w:p>
  <w:p w14:paraId="2AAB85EF" w14:textId="77777777" w:rsidR="007A0B11" w:rsidRDefault="007A0B11">
    <w:pPr>
      <w:pStyle w:val="Rodap"/>
    </w:pPr>
  </w:p>
  <w:p w14:paraId="113DE2A4" w14:textId="77777777" w:rsidR="007A0B11" w:rsidRDefault="007A0B11" w:rsidP="006F780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4F8215" w14:textId="77777777" w:rsidR="00E22888" w:rsidRDefault="00E22888" w:rsidP="00D87192">
      <w:pPr>
        <w:spacing w:after="0" w:line="240" w:lineRule="auto"/>
      </w:pPr>
      <w:r>
        <w:separator/>
      </w:r>
    </w:p>
    <w:p w14:paraId="1A3E1F78" w14:textId="77777777" w:rsidR="00E22888" w:rsidRDefault="00E22888"/>
    <w:p w14:paraId="5C4A0F24" w14:textId="77777777" w:rsidR="00E22888" w:rsidRDefault="00E22888" w:rsidP="006F780A"/>
    <w:p w14:paraId="2033BC09" w14:textId="77777777" w:rsidR="00E22888" w:rsidRDefault="00E22888" w:rsidP="006F780A"/>
  </w:footnote>
  <w:footnote w:type="continuationSeparator" w:id="0">
    <w:p w14:paraId="453C94A0" w14:textId="77777777" w:rsidR="00E22888" w:rsidRDefault="00E22888" w:rsidP="00D87192">
      <w:pPr>
        <w:spacing w:after="0" w:line="240" w:lineRule="auto"/>
      </w:pPr>
      <w:r>
        <w:continuationSeparator/>
      </w:r>
    </w:p>
    <w:p w14:paraId="401E9890" w14:textId="77777777" w:rsidR="00E22888" w:rsidRDefault="00E22888"/>
    <w:p w14:paraId="70CFAF5D" w14:textId="77777777" w:rsidR="00E22888" w:rsidRDefault="00E22888" w:rsidP="006F780A"/>
    <w:p w14:paraId="6A8787EE" w14:textId="77777777" w:rsidR="00E22888" w:rsidRDefault="00E22888" w:rsidP="006F780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3B7E8C"/>
    <w:multiLevelType w:val="hybridMultilevel"/>
    <w:tmpl w:val="F41C8814"/>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1">
    <w:nsid w:val="0BBD79AA"/>
    <w:multiLevelType w:val="hybridMultilevel"/>
    <w:tmpl w:val="D9F62D7E"/>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FCC3040"/>
    <w:multiLevelType w:val="hybridMultilevel"/>
    <w:tmpl w:val="C9F8A9E6"/>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10E6783E"/>
    <w:multiLevelType w:val="hybridMultilevel"/>
    <w:tmpl w:val="9BA46828"/>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1">
    <w:nsid w:val="1A3945DA"/>
    <w:multiLevelType w:val="hybridMultilevel"/>
    <w:tmpl w:val="BD82A3FA"/>
    <w:lvl w:ilvl="0" w:tplc="297CCE08">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1">
    <w:nsid w:val="25AD1F07"/>
    <w:multiLevelType w:val="hybridMultilevel"/>
    <w:tmpl w:val="2ADA499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1">
    <w:nsid w:val="291554A8"/>
    <w:multiLevelType w:val="hybridMultilevel"/>
    <w:tmpl w:val="CD2223D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1">
    <w:nsid w:val="37404121"/>
    <w:multiLevelType w:val="hybridMultilevel"/>
    <w:tmpl w:val="8526677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1">
    <w:nsid w:val="4A87584E"/>
    <w:multiLevelType w:val="hybridMultilevel"/>
    <w:tmpl w:val="DE646528"/>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1">
    <w:nsid w:val="4DBF5DE5"/>
    <w:multiLevelType w:val="hybridMultilevel"/>
    <w:tmpl w:val="E014F74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1">
    <w:nsid w:val="4F7D2477"/>
    <w:multiLevelType w:val="hybridMultilevel"/>
    <w:tmpl w:val="850805E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1">
    <w:nsid w:val="55BA08EF"/>
    <w:multiLevelType w:val="hybridMultilevel"/>
    <w:tmpl w:val="EB5251B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1">
    <w:nsid w:val="56065FB2"/>
    <w:multiLevelType w:val="hybridMultilevel"/>
    <w:tmpl w:val="F3D25D2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68677B2D"/>
    <w:multiLevelType w:val="hybridMultilevel"/>
    <w:tmpl w:val="910269DC"/>
    <w:lvl w:ilvl="0" w:tplc="0416000D">
      <w:start w:val="1"/>
      <w:numFmt w:val="bullet"/>
      <w:lvlText w:val=""/>
      <w:lvlJc w:val="left"/>
      <w:pPr>
        <w:ind w:left="720" w:hanging="360"/>
      </w:pPr>
      <w:rPr>
        <w:rFonts w:ascii="Wingdings" w:hAnsi="Wingdings"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1">
    <w:nsid w:val="6B2C36E6"/>
    <w:multiLevelType w:val="hybridMultilevel"/>
    <w:tmpl w:val="A7781A0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1">
    <w:nsid w:val="6DFB7767"/>
    <w:multiLevelType w:val="hybridMultilevel"/>
    <w:tmpl w:val="D416DDB4"/>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6F765137"/>
    <w:multiLevelType w:val="hybridMultilevel"/>
    <w:tmpl w:val="01DA583C"/>
    <w:lvl w:ilvl="0" w:tplc="0416000D">
      <w:start w:val="1"/>
      <w:numFmt w:val="bullet"/>
      <w:lvlText w:val=""/>
      <w:lvlJc w:val="left"/>
      <w:pPr>
        <w:ind w:left="720" w:hanging="360"/>
      </w:pPr>
      <w:rPr>
        <w:rFonts w:ascii="Wingdings" w:hAnsi="Wingdings"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1">
    <w:nsid w:val="71701ADA"/>
    <w:multiLevelType w:val="hybridMultilevel"/>
    <w:tmpl w:val="74B24418"/>
    <w:lvl w:ilvl="0" w:tplc="DDAC92BE">
      <w:start w:val="1"/>
      <w:numFmt w:val="lowerLetter"/>
      <w:lvlText w:val="%1)"/>
      <w:lvlJc w:val="left"/>
      <w:pPr>
        <w:ind w:left="720" w:hanging="360"/>
      </w:pPr>
      <w:rPr>
        <w:rFonts w:ascii="Tahoma" w:eastAsiaTheme="minorEastAsia" w:hAnsi="Tahoma" w:cs="Tahoma"/>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1">
    <w:nsid w:val="75341CBE"/>
    <w:multiLevelType w:val="hybridMultilevel"/>
    <w:tmpl w:val="873C72A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1">
    <w:nsid w:val="75AA4E7B"/>
    <w:multiLevelType w:val="hybridMultilevel"/>
    <w:tmpl w:val="6916C8DE"/>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78C02CCD"/>
    <w:multiLevelType w:val="hybridMultilevel"/>
    <w:tmpl w:val="B71C485C"/>
    <w:lvl w:ilvl="0" w:tplc="79309F76">
      <w:start w:val="1"/>
      <w:numFmt w:val="lowerLetter"/>
      <w:lvlText w:val="%1)"/>
      <w:lvlJc w:val="left"/>
      <w:pPr>
        <w:ind w:left="720" w:hanging="360"/>
      </w:pPr>
      <w:rPr>
        <w:rFonts w:ascii="Tahoma" w:hAnsi="Tahoma" w:cs="Tahoma"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7F733C4F"/>
    <w:multiLevelType w:val="hybridMultilevel"/>
    <w:tmpl w:val="F776106C"/>
    <w:lvl w:ilvl="0" w:tplc="0416000D">
      <w:start w:val="1"/>
      <w:numFmt w:val="bullet"/>
      <w:lvlText w:val=""/>
      <w:lvlJc w:val="left"/>
      <w:pPr>
        <w:ind w:left="720" w:hanging="360"/>
      </w:pPr>
      <w:rPr>
        <w:rFonts w:ascii="Wingdings" w:hAnsi="Wingdings"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15:restartNumberingAfterBreak="1">
    <w:nsid w:val="7F970C73"/>
    <w:multiLevelType w:val="hybridMultilevel"/>
    <w:tmpl w:val="948642E6"/>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1">
    <w:nsid w:val="7FC9251B"/>
    <w:multiLevelType w:val="hybridMultilevel"/>
    <w:tmpl w:val="C2421516"/>
    <w:lvl w:ilvl="0" w:tplc="0416000D">
      <w:start w:val="1"/>
      <w:numFmt w:val="bullet"/>
      <w:lvlText w:val=""/>
      <w:lvlJc w:val="left"/>
      <w:pPr>
        <w:ind w:left="720" w:hanging="360"/>
      </w:pPr>
      <w:rPr>
        <w:rFonts w:ascii="Wingdings" w:hAnsi="Wingdings" w:hint="default"/>
      </w:rPr>
    </w:lvl>
    <w:lvl w:ilvl="1" w:tplc="747EA8E2">
      <w:numFmt w:val="bullet"/>
      <w:lvlText w:val="•"/>
      <w:lvlJc w:val="left"/>
      <w:pPr>
        <w:ind w:left="1785" w:hanging="705"/>
      </w:pPr>
      <w:rPr>
        <w:rFonts w:ascii="Tahoma" w:eastAsiaTheme="minorEastAsia" w:hAnsi="Tahoma" w:cs="Tahoma"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1901675011">
    <w:abstractNumId w:val="6"/>
  </w:num>
  <w:num w:numId="2" w16cid:durableId="894395849">
    <w:abstractNumId w:val="23"/>
  </w:num>
  <w:num w:numId="3" w16cid:durableId="1556041974">
    <w:abstractNumId w:val="15"/>
  </w:num>
  <w:num w:numId="4" w16cid:durableId="1691101227">
    <w:abstractNumId w:val="8"/>
  </w:num>
  <w:num w:numId="5" w16cid:durableId="1622879447">
    <w:abstractNumId w:val="12"/>
  </w:num>
  <w:num w:numId="6" w16cid:durableId="1581600330">
    <w:abstractNumId w:val="17"/>
  </w:num>
  <w:num w:numId="7" w16cid:durableId="1390154770">
    <w:abstractNumId w:val="9"/>
  </w:num>
  <w:num w:numId="8" w16cid:durableId="50886478">
    <w:abstractNumId w:val="14"/>
  </w:num>
  <w:num w:numId="9" w16cid:durableId="29648568">
    <w:abstractNumId w:val="18"/>
  </w:num>
  <w:num w:numId="10" w16cid:durableId="1889298429">
    <w:abstractNumId w:val="5"/>
  </w:num>
  <w:num w:numId="11" w16cid:durableId="1462191617">
    <w:abstractNumId w:val="11"/>
  </w:num>
  <w:num w:numId="12" w16cid:durableId="418252617">
    <w:abstractNumId w:val="7"/>
  </w:num>
  <w:num w:numId="13" w16cid:durableId="159005187">
    <w:abstractNumId w:val="4"/>
  </w:num>
  <w:num w:numId="14" w16cid:durableId="180357776">
    <w:abstractNumId w:val="22"/>
  </w:num>
  <w:num w:numId="15" w16cid:durableId="321471971">
    <w:abstractNumId w:val="1"/>
  </w:num>
  <w:num w:numId="16" w16cid:durableId="1999845152">
    <w:abstractNumId w:val="19"/>
  </w:num>
  <w:num w:numId="17" w16cid:durableId="1877279021">
    <w:abstractNumId w:val="10"/>
  </w:num>
  <w:num w:numId="18" w16cid:durableId="2080790195">
    <w:abstractNumId w:val="0"/>
  </w:num>
  <w:num w:numId="19" w16cid:durableId="1217620180">
    <w:abstractNumId w:val="3"/>
  </w:num>
  <w:num w:numId="20" w16cid:durableId="884684542">
    <w:abstractNumId w:val="13"/>
  </w:num>
  <w:num w:numId="21" w16cid:durableId="1546522927">
    <w:abstractNumId w:val="16"/>
  </w:num>
  <w:num w:numId="22" w16cid:durableId="1760565453">
    <w:abstractNumId w:val="21"/>
  </w:num>
  <w:num w:numId="23" w16cid:durableId="117920902">
    <w:abstractNumId w:val="2"/>
  </w:num>
  <w:num w:numId="24" w16cid:durableId="38090948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AA3"/>
    <w:rsid w:val="00000037"/>
    <w:rsid w:val="000008B1"/>
    <w:rsid w:val="00003349"/>
    <w:rsid w:val="000059E4"/>
    <w:rsid w:val="00007735"/>
    <w:rsid w:val="00007A78"/>
    <w:rsid w:val="00010BE1"/>
    <w:rsid w:val="0001182B"/>
    <w:rsid w:val="00011BEB"/>
    <w:rsid w:val="00013FE2"/>
    <w:rsid w:val="000151D3"/>
    <w:rsid w:val="00015756"/>
    <w:rsid w:val="00016059"/>
    <w:rsid w:val="00017AA9"/>
    <w:rsid w:val="000206CA"/>
    <w:rsid w:val="00020F2E"/>
    <w:rsid w:val="00021B81"/>
    <w:rsid w:val="00021FFF"/>
    <w:rsid w:val="000241D4"/>
    <w:rsid w:val="000303D7"/>
    <w:rsid w:val="00031735"/>
    <w:rsid w:val="00032B7E"/>
    <w:rsid w:val="00033A82"/>
    <w:rsid w:val="00033A9C"/>
    <w:rsid w:val="00034D2C"/>
    <w:rsid w:val="00040275"/>
    <w:rsid w:val="00043F31"/>
    <w:rsid w:val="00047314"/>
    <w:rsid w:val="00050E36"/>
    <w:rsid w:val="00051B41"/>
    <w:rsid w:val="00054F61"/>
    <w:rsid w:val="0005510D"/>
    <w:rsid w:val="00055F30"/>
    <w:rsid w:val="00057261"/>
    <w:rsid w:val="00057478"/>
    <w:rsid w:val="0005750A"/>
    <w:rsid w:val="00061B09"/>
    <w:rsid w:val="000625EE"/>
    <w:rsid w:val="00064A07"/>
    <w:rsid w:val="00066075"/>
    <w:rsid w:val="000660AB"/>
    <w:rsid w:val="00066352"/>
    <w:rsid w:val="0006761C"/>
    <w:rsid w:val="00073374"/>
    <w:rsid w:val="00075082"/>
    <w:rsid w:val="00075F37"/>
    <w:rsid w:val="0007796D"/>
    <w:rsid w:val="00085BB8"/>
    <w:rsid w:val="00086C53"/>
    <w:rsid w:val="00086ED5"/>
    <w:rsid w:val="00092B14"/>
    <w:rsid w:val="00094E55"/>
    <w:rsid w:val="000955A2"/>
    <w:rsid w:val="00095703"/>
    <w:rsid w:val="000960DB"/>
    <w:rsid w:val="000966DE"/>
    <w:rsid w:val="000973AA"/>
    <w:rsid w:val="00097442"/>
    <w:rsid w:val="000976BC"/>
    <w:rsid w:val="000A0EB8"/>
    <w:rsid w:val="000A1349"/>
    <w:rsid w:val="000A16E6"/>
    <w:rsid w:val="000A27F4"/>
    <w:rsid w:val="000A44FC"/>
    <w:rsid w:val="000A4AA5"/>
    <w:rsid w:val="000A5602"/>
    <w:rsid w:val="000A6A26"/>
    <w:rsid w:val="000A6F03"/>
    <w:rsid w:val="000A7FF7"/>
    <w:rsid w:val="000B2947"/>
    <w:rsid w:val="000B42D6"/>
    <w:rsid w:val="000B5753"/>
    <w:rsid w:val="000B57AE"/>
    <w:rsid w:val="000B5B58"/>
    <w:rsid w:val="000B62B3"/>
    <w:rsid w:val="000B6EAF"/>
    <w:rsid w:val="000C021C"/>
    <w:rsid w:val="000C0B5D"/>
    <w:rsid w:val="000C0CA1"/>
    <w:rsid w:val="000C0D7F"/>
    <w:rsid w:val="000C445C"/>
    <w:rsid w:val="000C4F24"/>
    <w:rsid w:val="000C5479"/>
    <w:rsid w:val="000C5FF3"/>
    <w:rsid w:val="000D036B"/>
    <w:rsid w:val="000D22E0"/>
    <w:rsid w:val="000D2A5B"/>
    <w:rsid w:val="000D2D01"/>
    <w:rsid w:val="000D6497"/>
    <w:rsid w:val="000D730C"/>
    <w:rsid w:val="000D7C92"/>
    <w:rsid w:val="000E0040"/>
    <w:rsid w:val="000E119C"/>
    <w:rsid w:val="000E4BAC"/>
    <w:rsid w:val="000E5053"/>
    <w:rsid w:val="000E556D"/>
    <w:rsid w:val="000E5F86"/>
    <w:rsid w:val="000E7395"/>
    <w:rsid w:val="000E77F1"/>
    <w:rsid w:val="000E7F7A"/>
    <w:rsid w:val="000F0A8F"/>
    <w:rsid w:val="000F1B26"/>
    <w:rsid w:val="000F2BFD"/>
    <w:rsid w:val="000F4629"/>
    <w:rsid w:val="000F49B2"/>
    <w:rsid w:val="000F5784"/>
    <w:rsid w:val="000F7FA7"/>
    <w:rsid w:val="00100A20"/>
    <w:rsid w:val="0010126B"/>
    <w:rsid w:val="00101E77"/>
    <w:rsid w:val="00104FBC"/>
    <w:rsid w:val="001054E9"/>
    <w:rsid w:val="00107AFD"/>
    <w:rsid w:val="0011114E"/>
    <w:rsid w:val="0011279C"/>
    <w:rsid w:val="00113A14"/>
    <w:rsid w:val="001156DF"/>
    <w:rsid w:val="00117A06"/>
    <w:rsid w:val="00117C27"/>
    <w:rsid w:val="00122313"/>
    <w:rsid w:val="00131BEB"/>
    <w:rsid w:val="00133032"/>
    <w:rsid w:val="001330B1"/>
    <w:rsid w:val="00133E62"/>
    <w:rsid w:val="00134B8F"/>
    <w:rsid w:val="00134E53"/>
    <w:rsid w:val="00135656"/>
    <w:rsid w:val="00135909"/>
    <w:rsid w:val="001364EC"/>
    <w:rsid w:val="00140EC5"/>
    <w:rsid w:val="00141E2C"/>
    <w:rsid w:val="00142717"/>
    <w:rsid w:val="001427B0"/>
    <w:rsid w:val="00142E87"/>
    <w:rsid w:val="00144DFD"/>
    <w:rsid w:val="00145A48"/>
    <w:rsid w:val="00146852"/>
    <w:rsid w:val="00147553"/>
    <w:rsid w:val="001477C0"/>
    <w:rsid w:val="0015099D"/>
    <w:rsid w:val="001527FE"/>
    <w:rsid w:val="0015383C"/>
    <w:rsid w:val="00154B7D"/>
    <w:rsid w:val="00154EF4"/>
    <w:rsid w:val="00160EBB"/>
    <w:rsid w:val="00162171"/>
    <w:rsid w:val="00162C91"/>
    <w:rsid w:val="00166837"/>
    <w:rsid w:val="00167D80"/>
    <w:rsid w:val="00172376"/>
    <w:rsid w:val="0017250A"/>
    <w:rsid w:val="00172E4E"/>
    <w:rsid w:val="00173B64"/>
    <w:rsid w:val="00174B0E"/>
    <w:rsid w:val="0017698C"/>
    <w:rsid w:val="00177C38"/>
    <w:rsid w:val="00177FFC"/>
    <w:rsid w:val="00180805"/>
    <w:rsid w:val="001826D8"/>
    <w:rsid w:val="0019039D"/>
    <w:rsid w:val="001914E0"/>
    <w:rsid w:val="00193587"/>
    <w:rsid w:val="00195B34"/>
    <w:rsid w:val="0019763E"/>
    <w:rsid w:val="00197818"/>
    <w:rsid w:val="001A00B6"/>
    <w:rsid w:val="001A0B90"/>
    <w:rsid w:val="001A1E58"/>
    <w:rsid w:val="001A3185"/>
    <w:rsid w:val="001A502A"/>
    <w:rsid w:val="001B171E"/>
    <w:rsid w:val="001B2D93"/>
    <w:rsid w:val="001B3073"/>
    <w:rsid w:val="001B3686"/>
    <w:rsid w:val="001B5381"/>
    <w:rsid w:val="001B6A09"/>
    <w:rsid w:val="001C0AD8"/>
    <w:rsid w:val="001C13F7"/>
    <w:rsid w:val="001C1BE3"/>
    <w:rsid w:val="001C3ECC"/>
    <w:rsid w:val="001C59E4"/>
    <w:rsid w:val="001C6B3F"/>
    <w:rsid w:val="001C7340"/>
    <w:rsid w:val="001C7D16"/>
    <w:rsid w:val="001C7D33"/>
    <w:rsid w:val="001D4FDA"/>
    <w:rsid w:val="001D78D2"/>
    <w:rsid w:val="001E1407"/>
    <w:rsid w:val="001E1996"/>
    <w:rsid w:val="001E2149"/>
    <w:rsid w:val="001E31FE"/>
    <w:rsid w:val="001E4BEB"/>
    <w:rsid w:val="001E78B7"/>
    <w:rsid w:val="001F08A1"/>
    <w:rsid w:val="001F3376"/>
    <w:rsid w:val="001F6790"/>
    <w:rsid w:val="001F732D"/>
    <w:rsid w:val="00200BA7"/>
    <w:rsid w:val="0020251E"/>
    <w:rsid w:val="00205B2A"/>
    <w:rsid w:val="00207861"/>
    <w:rsid w:val="002104B1"/>
    <w:rsid w:val="002118AA"/>
    <w:rsid w:val="00212243"/>
    <w:rsid w:val="002130F2"/>
    <w:rsid w:val="002151AD"/>
    <w:rsid w:val="0022055A"/>
    <w:rsid w:val="0022148D"/>
    <w:rsid w:val="002226E7"/>
    <w:rsid w:val="00222BA4"/>
    <w:rsid w:val="00223C4C"/>
    <w:rsid w:val="00227AA3"/>
    <w:rsid w:val="00230506"/>
    <w:rsid w:val="00231639"/>
    <w:rsid w:val="002326E7"/>
    <w:rsid w:val="00235B98"/>
    <w:rsid w:val="00236758"/>
    <w:rsid w:val="00236A5D"/>
    <w:rsid w:val="00236C13"/>
    <w:rsid w:val="00237A74"/>
    <w:rsid w:val="0024086B"/>
    <w:rsid w:val="00241140"/>
    <w:rsid w:val="002426F7"/>
    <w:rsid w:val="00243331"/>
    <w:rsid w:val="0024377A"/>
    <w:rsid w:val="00243BF9"/>
    <w:rsid w:val="002448C3"/>
    <w:rsid w:val="00244D39"/>
    <w:rsid w:val="00251F7D"/>
    <w:rsid w:val="002525BF"/>
    <w:rsid w:val="00253758"/>
    <w:rsid w:val="00254589"/>
    <w:rsid w:val="00255921"/>
    <w:rsid w:val="00255B99"/>
    <w:rsid w:val="00260646"/>
    <w:rsid w:val="00260F0D"/>
    <w:rsid w:val="00262BED"/>
    <w:rsid w:val="002670EA"/>
    <w:rsid w:val="0026742C"/>
    <w:rsid w:val="00271D55"/>
    <w:rsid w:val="00272943"/>
    <w:rsid w:val="00272C0E"/>
    <w:rsid w:val="002751B3"/>
    <w:rsid w:val="0027535F"/>
    <w:rsid w:val="00275781"/>
    <w:rsid w:val="00276F64"/>
    <w:rsid w:val="002804C5"/>
    <w:rsid w:val="002814E3"/>
    <w:rsid w:val="00282841"/>
    <w:rsid w:val="00282BE4"/>
    <w:rsid w:val="002847C0"/>
    <w:rsid w:val="00284AA2"/>
    <w:rsid w:val="00284BD5"/>
    <w:rsid w:val="00285539"/>
    <w:rsid w:val="00285697"/>
    <w:rsid w:val="00285AE9"/>
    <w:rsid w:val="00285D81"/>
    <w:rsid w:val="002900BC"/>
    <w:rsid w:val="0029090D"/>
    <w:rsid w:val="00290C76"/>
    <w:rsid w:val="002917FE"/>
    <w:rsid w:val="00292B80"/>
    <w:rsid w:val="00292EBB"/>
    <w:rsid w:val="00294DFF"/>
    <w:rsid w:val="002971DA"/>
    <w:rsid w:val="00297856"/>
    <w:rsid w:val="002A0670"/>
    <w:rsid w:val="002A084B"/>
    <w:rsid w:val="002A140C"/>
    <w:rsid w:val="002A20C9"/>
    <w:rsid w:val="002A48D1"/>
    <w:rsid w:val="002B0452"/>
    <w:rsid w:val="002B0A1C"/>
    <w:rsid w:val="002B2133"/>
    <w:rsid w:val="002B2E25"/>
    <w:rsid w:val="002B3FE6"/>
    <w:rsid w:val="002B5723"/>
    <w:rsid w:val="002C2E94"/>
    <w:rsid w:val="002C4D14"/>
    <w:rsid w:val="002C6C02"/>
    <w:rsid w:val="002C74DF"/>
    <w:rsid w:val="002C782B"/>
    <w:rsid w:val="002C7C7F"/>
    <w:rsid w:val="002D02EA"/>
    <w:rsid w:val="002D28D8"/>
    <w:rsid w:val="002D2BBB"/>
    <w:rsid w:val="002D2DE1"/>
    <w:rsid w:val="002D328B"/>
    <w:rsid w:val="002D368F"/>
    <w:rsid w:val="002D5B59"/>
    <w:rsid w:val="002D6450"/>
    <w:rsid w:val="002D6A2C"/>
    <w:rsid w:val="002D6ED3"/>
    <w:rsid w:val="002E0414"/>
    <w:rsid w:val="002E0461"/>
    <w:rsid w:val="002E2B43"/>
    <w:rsid w:val="002E34BC"/>
    <w:rsid w:val="002E5891"/>
    <w:rsid w:val="002E755E"/>
    <w:rsid w:val="002F0916"/>
    <w:rsid w:val="002F27DB"/>
    <w:rsid w:val="002F3366"/>
    <w:rsid w:val="002F3BF9"/>
    <w:rsid w:val="002F53CE"/>
    <w:rsid w:val="002F5D79"/>
    <w:rsid w:val="002F79FD"/>
    <w:rsid w:val="002F7F97"/>
    <w:rsid w:val="0030085B"/>
    <w:rsid w:val="00300B81"/>
    <w:rsid w:val="003019AE"/>
    <w:rsid w:val="00303C92"/>
    <w:rsid w:val="00306948"/>
    <w:rsid w:val="00310447"/>
    <w:rsid w:val="00310C39"/>
    <w:rsid w:val="003110D7"/>
    <w:rsid w:val="00313A46"/>
    <w:rsid w:val="003152B5"/>
    <w:rsid w:val="00316869"/>
    <w:rsid w:val="00317280"/>
    <w:rsid w:val="003174AF"/>
    <w:rsid w:val="00317A51"/>
    <w:rsid w:val="00323CFA"/>
    <w:rsid w:val="00324A36"/>
    <w:rsid w:val="0032505A"/>
    <w:rsid w:val="0032559C"/>
    <w:rsid w:val="0032603B"/>
    <w:rsid w:val="00326D08"/>
    <w:rsid w:val="00331DE9"/>
    <w:rsid w:val="00333690"/>
    <w:rsid w:val="00335F22"/>
    <w:rsid w:val="0033656D"/>
    <w:rsid w:val="00336AA3"/>
    <w:rsid w:val="00336EEA"/>
    <w:rsid w:val="0034031D"/>
    <w:rsid w:val="0034319A"/>
    <w:rsid w:val="0034322E"/>
    <w:rsid w:val="00343CBC"/>
    <w:rsid w:val="00344EA0"/>
    <w:rsid w:val="0034503B"/>
    <w:rsid w:val="0034656C"/>
    <w:rsid w:val="00346F49"/>
    <w:rsid w:val="00347939"/>
    <w:rsid w:val="00350C59"/>
    <w:rsid w:val="0035156D"/>
    <w:rsid w:val="00355383"/>
    <w:rsid w:val="00355FF4"/>
    <w:rsid w:val="00357966"/>
    <w:rsid w:val="00357F66"/>
    <w:rsid w:val="00363B14"/>
    <w:rsid w:val="003663FD"/>
    <w:rsid w:val="00367AFA"/>
    <w:rsid w:val="00367FD3"/>
    <w:rsid w:val="00372DA8"/>
    <w:rsid w:val="00374113"/>
    <w:rsid w:val="0037442D"/>
    <w:rsid w:val="00376F61"/>
    <w:rsid w:val="00380DC9"/>
    <w:rsid w:val="00381426"/>
    <w:rsid w:val="00382817"/>
    <w:rsid w:val="00383A51"/>
    <w:rsid w:val="00385298"/>
    <w:rsid w:val="003852EA"/>
    <w:rsid w:val="003900DF"/>
    <w:rsid w:val="0039377E"/>
    <w:rsid w:val="00395350"/>
    <w:rsid w:val="003979B5"/>
    <w:rsid w:val="003A0928"/>
    <w:rsid w:val="003A0D68"/>
    <w:rsid w:val="003A46C3"/>
    <w:rsid w:val="003A4948"/>
    <w:rsid w:val="003A4DF8"/>
    <w:rsid w:val="003A5B4A"/>
    <w:rsid w:val="003A5F47"/>
    <w:rsid w:val="003B23CB"/>
    <w:rsid w:val="003B3510"/>
    <w:rsid w:val="003B3A18"/>
    <w:rsid w:val="003B47CB"/>
    <w:rsid w:val="003B611D"/>
    <w:rsid w:val="003B69E5"/>
    <w:rsid w:val="003B6ABE"/>
    <w:rsid w:val="003B6B9D"/>
    <w:rsid w:val="003B7C32"/>
    <w:rsid w:val="003C000C"/>
    <w:rsid w:val="003C0B5C"/>
    <w:rsid w:val="003C100F"/>
    <w:rsid w:val="003C2717"/>
    <w:rsid w:val="003C3769"/>
    <w:rsid w:val="003C481E"/>
    <w:rsid w:val="003C5595"/>
    <w:rsid w:val="003C69FD"/>
    <w:rsid w:val="003D3720"/>
    <w:rsid w:val="003D61B3"/>
    <w:rsid w:val="003D61D1"/>
    <w:rsid w:val="003D6C46"/>
    <w:rsid w:val="003E25C2"/>
    <w:rsid w:val="003E49CF"/>
    <w:rsid w:val="003E5338"/>
    <w:rsid w:val="003F013F"/>
    <w:rsid w:val="003F0648"/>
    <w:rsid w:val="003F3872"/>
    <w:rsid w:val="003F4447"/>
    <w:rsid w:val="003F5C7C"/>
    <w:rsid w:val="003F5D20"/>
    <w:rsid w:val="00400679"/>
    <w:rsid w:val="004008A9"/>
    <w:rsid w:val="00400BE0"/>
    <w:rsid w:val="00400D6B"/>
    <w:rsid w:val="00401637"/>
    <w:rsid w:val="0040225E"/>
    <w:rsid w:val="00403336"/>
    <w:rsid w:val="00404383"/>
    <w:rsid w:val="00406B8E"/>
    <w:rsid w:val="00406BE0"/>
    <w:rsid w:val="00407445"/>
    <w:rsid w:val="00410EBF"/>
    <w:rsid w:val="004113B5"/>
    <w:rsid w:val="00412938"/>
    <w:rsid w:val="00413379"/>
    <w:rsid w:val="004133A8"/>
    <w:rsid w:val="00414E7A"/>
    <w:rsid w:val="00416998"/>
    <w:rsid w:val="00421C26"/>
    <w:rsid w:val="00422F7A"/>
    <w:rsid w:val="004246D6"/>
    <w:rsid w:val="00425431"/>
    <w:rsid w:val="00426001"/>
    <w:rsid w:val="00426949"/>
    <w:rsid w:val="0042722C"/>
    <w:rsid w:val="004276F4"/>
    <w:rsid w:val="00427E4F"/>
    <w:rsid w:val="004317A1"/>
    <w:rsid w:val="00432221"/>
    <w:rsid w:val="00434FD0"/>
    <w:rsid w:val="0043562C"/>
    <w:rsid w:val="004356FA"/>
    <w:rsid w:val="004361BC"/>
    <w:rsid w:val="004371D0"/>
    <w:rsid w:val="00437E07"/>
    <w:rsid w:val="00441675"/>
    <w:rsid w:val="00442B3C"/>
    <w:rsid w:val="00442CA3"/>
    <w:rsid w:val="004437DC"/>
    <w:rsid w:val="00447F1F"/>
    <w:rsid w:val="00453F7A"/>
    <w:rsid w:val="00454F4E"/>
    <w:rsid w:val="00456C5A"/>
    <w:rsid w:val="004602FE"/>
    <w:rsid w:val="004606F5"/>
    <w:rsid w:val="00460ED4"/>
    <w:rsid w:val="00463AFC"/>
    <w:rsid w:val="00464813"/>
    <w:rsid w:val="00465C63"/>
    <w:rsid w:val="00470745"/>
    <w:rsid w:val="004715AF"/>
    <w:rsid w:val="004732C7"/>
    <w:rsid w:val="00475CDD"/>
    <w:rsid w:val="00481984"/>
    <w:rsid w:val="00481CC6"/>
    <w:rsid w:val="004820D3"/>
    <w:rsid w:val="004825C5"/>
    <w:rsid w:val="00482A84"/>
    <w:rsid w:val="004830EE"/>
    <w:rsid w:val="00485927"/>
    <w:rsid w:val="00487FC6"/>
    <w:rsid w:val="00490E53"/>
    <w:rsid w:val="004922F7"/>
    <w:rsid w:val="00492B7D"/>
    <w:rsid w:val="0049301F"/>
    <w:rsid w:val="0049303D"/>
    <w:rsid w:val="00493F25"/>
    <w:rsid w:val="00494822"/>
    <w:rsid w:val="00495040"/>
    <w:rsid w:val="00496CEC"/>
    <w:rsid w:val="004A0B25"/>
    <w:rsid w:val="004A232E"/>
    <w:rsid w:val="004A2FAB"/>
    <w:rsid w:val="004B23DC"/>
    <w:rsid w:val="004B423B"/>
    <w:rsid w:val="004B6957"/>
    <w:rsid w:val="004B7702"/>
    <w:rsid w:val="004C1B77"/>
    <w:rsid w:val="004C1BC4"/>
    <w:rsid w:val="004C2608"/>
    <w:rsid w:val="004C3531"/>
    <w:rsid w:val="004C6CF6"/>
    <w:rsid w:val="004C7562"/>
    <w:rsid w:val="004D0711"/>
    <w:rsid w:val="004D3798"/>
    <w:rsid w:val="004D4B19"/>
    <w:rsid w:val="004D70B5"/>
    <w:rsid w:val="004E01B9"/>
    <w:rsid w:val="004E421F"/>
    <w:rsid w:val="004E4C80"/>
    <w:rsid w:val="004F1207"/>
    <w:rsid w:val="004F27F7"/>
    <w:rsid w:val="004F2ECE"/>
    <w:rsid w:val="004F408B"/>
    <w:rsid w:val="004F5737"/>
    <w:rsid w:val="004F6785"/>
    <w:rsid w:val="004F6A0C"/>
    <w:rsid w:val="004F6BD6"/>
    <w:rsid w:val="004F6FA4"/>
    <w:rsid w:val="004F7238"/>
    <w:rsid w:val="00500468"/>
    <w:rsid w:val="005004AC"/>
    <w:rsid w:val="00502EBB"/>
    <w:rsid w:val="0050347F"/>
    <w:rsid w:val="00503543"/>
    <w:rsid w:val="00503F0C"/>
    <w:rsid w:val="005046B4"/>
    <w:rsid w:val="00504DEF"/>
    <w:rsid w:val="00505598"/>
    <w:rsid w:val="00505908"/>
    <w:rsid w:val="00505927"/>
    <w:rsid w:val="005067B4"/>
    <w:rsid w:val="0050750A"/>
    <w:rsid w:val="005122BE"/>
    <w:rsid w:val="0051276C"/>
    <w:rsid w:val="00512E22"/>
    <w:rsid w:val="00521366"/>
    <w:rsid w:val="00523BC5"/>
    <w:rsid w:val="00524D22"/>
    <w:rsid w:val="0052501B"/>
    <w:rsid w:val="00527298"/>
    <w:rsid w:val="005306EF"/>
    <w:rsid w:val="00530D68"/>
    <w:rsid w:val="00533232"/>
    <w:rsid w:val="00533862"/>
    <w:rsid w:val="005343AB"/>
    <w:rsid w:val="005350B5"/>
    <w:rsid w:val="0054000D"/>
    <w:rsid w:val="00541EA8"/>
    <w:rsid w:val="005441AD"/>
    <w:rsid w:val="00546724"/>
    <w:rsid w:val="00546A6B"/>
    <w:rsid w:val="005473F0"/>
    <w:rsid w:val="00547A12"/>
    <w:rsid w:val="00553BBE"/>
    <w:rsid w:val="00554B10"/>
    <w:rsid w:val="0055721A"/>
    <w:rsid w:val="005601CD"/>
    <w:rsid w:val="00560568"/>
    <w:rsid w:val="00560717"/>
    <w:rsid w:val="00564AED"/>
    <w:rsid w:val="00564E75"/>
    <w:rsid w:val="00565CCC"/>
    <w:rsid w:val="00570073"/>
    <w:rsid w:val="00570DBA"/>
    <w:rsid w:val="005719FA"/>
    <w:rsid w:val="005731B7"/>
    <w:rsid w:val="00574701"/>
    <w:rsid w:val="005753DE"/>
    <w:rsid w:val="0057554C"/>
    <w:rsid w:val="00575E99"/>
    <w:rsid w:val="00576409"/>
    <w:rsid w:val="00583DDF"/>
    <w:rsid w:val="0059156D"/>
    <w:rsid w:val="00592455"/>
    <w:rsid w:val="00592AFB"/>
    <w:rsid w:val="0059350B"/>
    <w:rsid w:val="00593D5C"/>
    <w:rsid w:val="005A0CB7"/>
    <w:rsid w:val="005A2CDA"/>
    <w:rsid w:val="005A2EEE"/>
    <w:rsid w:val="005A37B4"/>
    <w:rsid w:val="005A5B84"/>
    <w:rsid w:val="005B027E"/>
    <w:rsid w:val="005B030A"/>
    <w:rsid w:val="005B1453"/>
    <w:rsid w:val="005B35DC"/>
    <w:rsid w:val="005B440F"/>
    <w:rsid w:val="005B5A3B"/>
    <w:rsid w:val="005B6330"/>
    <w:rsid w:val="005B6438"/>
    <w:rsid w:val="005B6BEA"/>
    <w:rsid w:val="005B782C"/>
    <w:rsid w:val="005B7C4D"/>
    <w:rsid w:val="005C19FC"/>
    <w:rsid w:val="005C2E18"/>
    <w:rsid w:val="005C3293"/>
    <w:rsid w:val="005C3AF3"/>
    <w:rsid w:val="005C73B7"/>
    <w:rsid w:val="005C7BCF"/>
    <w:rsid w:val="005D1000"/>
    <w:rsid w:val="005D10A6"/>
    <w:rsid w:val="005D14CC"/>
    <w:rsid w:val="005D2530"/>
    <w:rsid w:val="005D2F79"/>
    <w:rsid w:val="005D306C"/>
    <w:rsid w:val="005D3A43"/>
    <w:rsid w:val="005D7BBC"/>
    <w:rsid w:val="005E15CB"/>
    <w:rsid w:val="005E165F"/>
    <w:rsid w:val="005E21FD"/>
    <w:rsid w:val="005E2946"/>
    <w:rsid w:val="005E5A78"/>
    <w:rsid w:val="005E6436"/>
    <w:rsid w:val="005F01B0"/>
    <w:rsid w:val="005F07A9"/>
    <w:rsid w:val="005F2580"/>
    <w:rsid w:val="005F57AA"/>
    <w:rsid w:val="005F6F7B"/>
    <w:rsid w:val="005F7F83"/>
    <w:rsid w:val="006003B1"/>
    <w:rsid w:val="00602104"/>
    <w:rsid w:val="0060384B"/>
    <w:rsid w:val="00604F20"/>
    <w:rsid w:val="0060663C"/>
    <w:rsid w:val="00606836"/>
    <w:rsid w:val="00606DFD"/>
    <w:rsid w:val="00611583"/>
    <w:rsid w:val="00616F1F"/>
    <w:rsid w:val="00620E75"/>
    <w:rsid w:val="00621757"/>
    <w:rsid w:val="00621CC7"/>
    <w:rsid w:val="00625A26"/>
    <w:rsid w:val="006276E7"/>
    <w:rsid w:val="0063031E"/>
    <w:rsid w:val="0063040E"/>
    <w:rsid w:val="0063058C"/>
    <w:rsid w:val="00631048"/>
    <w:rsid w:val="00631098"/>
    <w:rsid w:val="0063310D"/>
    <w:rsid w:val="00633F58"/>
    <w:rsid w:val="00636343"/>
    <w:rsid w:val="00637C49"/>
    <w:rsid w:val="006413A4"/>
    <w:rsid w:val="00642F1E"/>
    <w:rsid w:val="00643515"/>
    <w:rsid w:val="0064433D"/>
    <w:rsid w:val="00644DBE"/>
    <w:rsid w:val="00644FED"/>
    <w:rsid w:val="00645142"/>
    <w:rsid w:val="00645716"/>
    <w:rsid w:val="00645733"/>
    <w:rsid w:val="00646983"/>
    <w:rsid w:val="0064699C"/>
    <w:rsid w:val="00647E20"/>
    <w:rsid w:val="006508F8"/>
    <w:rsid w:val="00651E52"/>
    <w:rsid w:val="00651EA9"/>
    <w:rsid w:val="00652F11"/>
    <w:rsid w:val="00654099"/>
    <w:rsid w:val="006556FC"/>
    <w:rsid w:val="00655C56"/>
    <w:rsid w:val="00657451"/>
    <w:rsid w:val="00660004"/>
    <w:rsid w:val="00660FDB"/>
    <w:rsid w:val="006654A7"/>
    <w:rsid w:val="00665EDF"/>
    <w:rsid w:val="00667AF7"/>
    <w:rsid w:val="006729BC"/>
    <w:rsid w:val="006730ED"/>
    <w:rsid w:val="00673776"/>
    <w:rsid w:val="00674ECC"/>
    <w:rsid w:val="00675F1D"/>
    <w:rsid w:val="00676F05"/>
    <w:rsid w:val="00677819"/>
    <w:rsid w:val="00677B19"/>
    <w:rsid w:val="00681FB2"/>
    <w:rsid w:val="00682562"/>
    <w:rsid w:val="00683F47"/>
    <w:rsid w:val="00686500"/>
    <w:rsid w:val="00686630"/>
    <w:rsid w:val="0069101F"/>
    <w:rsid w:val="0069206E"/>
    <w:rsid w:val="00692137"/>
    <w:rsid w:val="00692336"/>
    <w:rsid w:val="00692863"/>
    <w:rsid w:val="00692F51"/>
    <w:rsid w:val="006948EC"/>
    <w:rsid w:val="00694C41"/>
    <w:rsid w:val="00694E07"/>
    <w:rsid w:val="006A03BC"/>
    <w:rsid w:val="006A3681"/>
    <w:rsid w:val="006A5569"/>
    <w:rsid w:val="006A6EB8"/>
    <w:rsid w:val="006B05CD"/>
    <w:rsid w:val="006B2240"/>
    <w:rsid w:val="006B3BE5"/>
    <w:rsid w:val="006B3E16"/>
    <w:rsid w:val="006B43AC"/>
    <w:rsid w:val="006C38E9"/>
    <w:rsid w:val="006C3FAD"/>
    <w:rsid w:val="006C3FC7"/>
    <w:rsid w:val="006C5488"/>
    <w:rsid w:val="006C54F9"/>
    <w:rsid w:val="006D2F09"/>
    <w:rsid w:val="006D5F9B"/>
    <w:rsid w:val="006D7331"/>
    <w:rsid w:val="006E059E"/>
    <w:rsid w:val="006E0701"/>
    <w:rsid w:val="006E23B8"/>
    <w:rsid w:val="006E3CE4"/>
    <w:rsid w:val="006E414F"/>
    <w:rsid w:val="006E4A22"/>
    <w:rsid w:val="006E4A87"/>
    <w:rsid w:val="006E5D9A"/>
    <w:rsid w:val="006E628E"/>
    <w:rsid w:val="006E64BF"/>
    <w:rsid w:val="006F33D5"/>
    <w:rsid w:val="006F42C2"/>
    <w:rsid w:val="006F6C5E"/>
    <w:rsid w:val="006F6FB0"/>
    <w:rsid w:val="006F780A"/>
    <w:rsid w:val="006F7DAC"/>
    <w:rsid w:val="00700451"/>
    <w:rsid w:val="007013E9"/>
    <w:rsid w:val="007027C4"/>
    <w:rsid w:val="00712B30"/>
    <w:rsid w:val="00712F36"/>
    <w:rsid w:val="00713AE0"/>
    <w:rsid w:val="00715F3A"/>
    <w:rsid w:val="007164AC"/>
    <w:rsid w:val="007167D2"/>
    <w:rsid w:val="00717DC4"/>
    <w:rsid w:val="00717FB7"/>
    <w:rsid w:val="00723449"/>
    <w:rsid w:val="00725EA8"/>
    <w:rsid w:val="00730745"/>
    <w:rsid w:val="00730F66"/>
    <w:rsid w:val="0073368D"/>
    <w:rsid w:val="0073418D"/>
    <w:rsid w:val="00735AC4"/>
    <w:rsid w:val="00736850"/>
    <w:rsid w:val="00736BC2"/>
    <w:rsid w:val="00741B21"/>
    <w:rsid w:val="007422A1"/>
    <w:rsid w:val="0074290D"/>
    <w:rsid w:val="00742A03"/>
    <w:rsid w:val="0074384B"/>
    <w:rsid w:val="00743C88"/>
    <w:rsid w:val="00744DFB"/>
    <w:rsid w:val="00747B2C"/>
    <w:rsid w:val="00750C64"/>
    <w:rsid w:val="0075327B"/>
    <w:rsid w:val="00753C35"/>
    <w:rsid w:val="00755B91"/>
    <w:rsid w:val="00755BF9"/>
    <w:rsid w:val="0075754F"/>
    <w:rsid w:val="0076386C"/>
    <w:rsid w:val="00763A44"/>
    <w:rsid w:val="007654F6"/>
    <w:rsid w:val="00766F17"/>
    <w:rsid w:val="00771BD7"/>
    <w:rsid w:val="00771F7B"/>
    <w:rsid w:val="007724DC"/>
    <w:rsid w:val="007726EB"/>
    <w:rsid w:val="00774C95"/>
    <w:rsid w:val="00774E8A"/>
    <w:rsid w:val="007751FE"/>
    <w:rsid w:val="00775237"/>
    <w:rsid w:val="007768A7"/>
    <w:rsid w:val="00780240"/>
    <w:rsid w:val="00780AE7"/>
    <w:rsid w:val="00787666"/>
    <w:rsid w:val="00791B97"/>
    <w:rsid w:val="00792589"/>
    <w:rsid w:val="007930C5"/>
    <w:rsid w:val="00793359"/>
    <w:rsid w:val="007939BF"/>
    <w:rsid w:val="007939ED"/>
    <w:rsid w:val="007949D2"/>
    <w:rsid w:val="00795178"/>
    <w:rsid w:val="007959EC"/>
    <w:rsid w:val="00795CD7"/>
    <w:rsid w:val="007964E1"/>
    <w:rsid w:val="00796A75"/>
    <w:rsid w:val="00797D06"/>
    <w:rsid w:val="007A0B11"/>
    <w:rsid w:val="007A0C8F"/>
    <w:rsid w:val="007A1EFB"/>
    <w:rsid w:val="007A372D"/>
    <w:rsid w:val="007A3992"/>
    <w:rsid w:val="007A3EAC"/>
    <w:rsid w:val="007A4CD5"/>
    <w:rsid w:val="007A4DFE"/>
    <w:rsid w:val="007A66FD"/>
    <w:rsid w:val="007A7C79"/>
    <w:rsid w:val="007B14C0"/>
    <w:rsid w:val="007B2371"/>
    <w:rsid w:val="007B2480"/>
    <w:rsid w:val="007B2526"/>
    <w:rsid w:val="007B26B9"/>
    <w:rsid w:val="007B460C"/>
    <w:rsid w:val="007B7699"/>
    <w:rsid w:val="007C01E4"/>
    <w:rsid w:val="007C05CD"/>
    <w:rsid w:val="007C1814"/>
    <w:rsid w:val="007C2169"/>
    <w:rsid w:val="007C2511"/>
    <w:rsid w:val="007C2CEA"/>
    <w:rsid w:val="007C36AD"/>
    <w:rsid w:val="007C4673"/>
    <w:rsid w:val="007C54E5"/>
    <w:rsid w:val="007C6961"/>
    <w:rsid w:val="007C7694"/>
    <w:rsid w:val="007D1868"/>
    <w:rsid w:val="007D204A"/>
    <w:rsid w:val="007D3C3D"/>
    <w:rsid w:val="007D4405"/>
    <w:rsid w:val="007D4C34"/>
    <w:rsid w:val="007D6C70"/>
    <w:rsid w:val="007D721A"/>
    <w:rsid w:val="007E1043"/>
    <w:rsid w:val="007E1128"/>
    <w:rsid w:val="007E163B"/>
    <w:rsid w:val="007E166F"/>
    <w:rsid w:val="007E1801"/>
    <w:rsid w:val="007E1FF6"/>
    <w:rsid w:val="007E77FF"/>
    <w:rsid w:val="007E786C"/>
    <w:rsid w:val="007F0471"/>
    <w:rsid w:val="007F127A"/>
    <w:rsid w:val="007F240A"/>
    <w:rsid w:val="007F6D14"/>
    <w:rsid w:val="008003B0"/>
    <w:rsid w:val="00801158"/>
    <w:rsid w:val="008017C9"/>
    <w:rsid w:val="008026B8"/>
    <w:rsid w:val="00803912"/>
    <w:rsid w:val="008064AE"/>
    <w:rsid w:val="0081304E"/>
    <w:rsid w:val="0081439C"/>
    <w:rsid w:val="008146C9"/>
    <w:rsid w:val="008160A1"/>
    <w:rsid w:val="00816CEC"/>
    <w:rsid w:val="00817F8B"/>
    <w:rsid w:val="008202D4"/>
    <w:rsid w:val="0082130C"/>
    <w:rsid w:val="0082555B"/>
    <w:rsid w:val="00826E0D"/>
    <w:rsid w:val="00826E22"/>
    <w:rsid w:val="008272CF"/>
    <w:rsid w:val="00831248"/>
    <w:rsid w:val="00831843"/>
    <w:rsid w:val="00831E3E"/>
    <w:rsid w:val="008336FB"/>
    <w:rsid w:val="00837590"/>
    <w:rsid w:val="00837939"/>
    <w:rsid w:val="008414CA"/>
    <w:rsid w:val="0084303E"/>
    <w:rsid w:val="008438A5"/>
    <w:rsid w:val="008472AB"/>
    <w:rsid w:val="008501AA"/>
    <w:rsid w:val="00853F94"/>
    <w:rsid w:val="00854245"/>
    <w:rsid w:val="00854D7E"/>
    <w:rsid w:val="008563D8"/>
    <w:rsid w:val="00861B6E"/>
    <w:rsid w:val="00862354"/>
    <w:rsid w:val="00862834"/>
    <w:rsid w:val="00865F2B"/>
    <w:rsid w:val="0086795C"/>
    <w:rsid w:val="0087022E"/>
    <w:rsid w:val="0087181C"/>
    <w:rsid w:val="00872FC8"/>
    <w:rsid w:val="008764A8"/>
    <w:rsid w:val="00876A03"/>
    <w:rsid w:val="00882D8E"/>
    <w:rsid w:val="00883FBF"/>
    <w:rsid w:val="0088486D"/>
    <w:rsid w:val="008873DE"/>
    <w:rsid w:val="008916A3"/>
    <w:rsid w:val="00891784"/>
    <w:rsid w:val="00892766"/>
    <w:rsid w:val="008927BD"/>
    <w:rsid w:val="00895F4B"/>
    <w:rsid w:val="008A0143"/>
    <w:rsid w:val="008A0CDF"/>
    <w:rsid w:val="008A14BB"/>
    <w:rsid w:val="008A3018"/>
    <w:rsid w:val="008A36EE"/>
    <w:rsid w:val="008A3C9E"/>
    <w:rsid w:val="008A6234"/>
    <w:rsid w:val="008B4F43"/>
    <w:rsid w:val="008B4F9A"/>
    <w:rsid w:val="008B520C"/>
    <w:rsid w:val="008B6BD7"/>
    <w:rsid w:val="008B708A"/>
    <w:rsid w:val="008B7C18"/>
    <w:rsid w:val="008C0910"/>
    <w:rsid w:val="008C4841"/>
    <w:rsid w:val="008C4B57"/>
    <w:rsid w:val="008C54EE"/>
    <w:rsid w:val="008C5DB0"/>
    <w:rsid w:val="008C660E"/>
    <w:rsid w:val="008C73A3"/>
    <w:rsid w:val="008C7ADC"/>
    <w:rsid w:val="008D01E2"/>
    <w:rsid w:val="008D2C54"/>
    <w:rsid w:val="008D334A"/>
    <w:rsid w:val="008D4DDD"/>
    <w:rsid w:val="008D531B"/>
    <w:rsid w:val="008D5607"/>
    <w:rsid w:val="008D6FD9"/>
    <w:rsid w:val="008E02C9"/>
    <w:rsid w:val="008E07EB"/>
    <w:rsid w:val="008E0B10"/>
    <w:rsid w:val="008E1224"/>
    <w:rsid w:val="008E23AC"/>
    <w:rsid w:val="008E3819"/>
    <w:rsid w:val="008E51A1"/>
    <w:rsid w:val="008E522D"/>
    <w:rsid w:val="008E6171"/>
    <w:rsid w:val="008E7140"/>
    <w:rsid w:val="008F082C"/>
    <w:rsid w:val="008F250A"/>
    <w:rsid w:val="008F39AE"/>
    <w:rsid w:val="008F5063"/>
    <w:rsid w:val="008F5EBF"/>
    <w:rsid w:val="008F6332"/>
    <w:rsid w:val="008F6D68"/>
    <w:rsid w:val="008F7A03"/>
    <w:rsid w:val="0090066E"/>
    <w:rsid w:val="009014B5"/>
    <w:rsid w:val="00901A15"/>
    <w:rsid w:val="00903965"/>
    <w:rsid w:val="00905546"/>
    <w:rsid w:val="0090577B"/>
    <w:rsid w:val="009108D8"/>
    <w:rsid w:val="00910A84"/>
    <w:rsid w:val="00910CD5"/>
    <w:rsid w:val="009116AC"/>
    <w:rsid w:val="009134DA"/>
    <w:rsid w:val="0091388F"/>
    <w:rsid w:val="00913914"/>
    <w:rsid w:val="00913E65"/>
    <w:rsid w:val="0091445F"/>
    <w:rsid w:val="00915AA5"/>
    <w:rsid w:val="00916671"/>
    <w:rsid w:val="00916ACB"/>
    <w:rsid w:val="00921411"/>
    <w:rsid w:val="00924FF2"/>
    <w:rsid w:val="009274B7"/>
    <w:rsid w:val="00930453"/>
    <w:rsid w:val="00932819"/>
    <w:rsid w:val="00932E92"/>
    <w:rsid w:val="00932F18"/>
    <w:rsid w:val="00933152"/>
    <w:rsid w:val="009338FD"/>
    <w:rsid w:val="00933D1B"/>
    <w:rsid w:val="0093513C"/>
    <w:rsid w:val="0093658B"/>
    <w:rsid w:val="009376D3"/>
    <w:rsid w:val="009442D6"/>
    <w:rsid w:val="009447E0"/>
    <w:rsid w:val="009451DE"/>
    <w:rsid w:val="00946E73"/>
    <w:rsid w:val="00946F98"/>
    <w:rsid w:val="009474DC"/>
    <w:rsid w:val="0095090B"/>
    <w:rsid w:val="00950DE0"/>
    <w:rsid w:val="009512B4"/>
    <w:rsid w:val="00952DEB"/>
    <w:rsid w:val="0095380A"/>
    <w:rsid w:val="0095399B"/>
    <w:rsid w:val="00954DD6"/>
    <w:rsid w:val="009557BB"/>
    <w:rsid w:val="009578E8"/>
    <w:rsid w:val="00957DEC"/>
    <w:rsid w:val="0096211B"/>
    <w:rsid w:val="00963442"/>
    <w:rsid w:val="00963C90"/>
    <w:rsid w:val="00964F61"/>
    <w:rsid w:val="009651F4"/>
    <w:rsid w:val="00966449"/>
    <w:rsid w:val="00966DAD"/>
    <w:rsid w:val="00970F88"/>
    <w:rsid w:val="0097111F"/>
    <w:rsid w:val="00971BEF"/>
    <w:rsid w:val="00972273"/>
    <w:rsid w:val="00973D1C"/>
    <w:rsid w:val="009743E4"/>
    <w:rsid w:val="00975B16"/>
    <w:rsid w:val="0097746D"/>
    <w:rsid w:val="0097794B"/>
    <w:rsid w:val="00977C2A"/>
    <w:rsid w:val="0098454A"/>
    <w:rsid w:val="0098753E"/>
    <w:rsid w:val="00990FE6"/>
    <w:rsid w:val="009911C8"/>
    <w:rsid w:val="0099256D"/>
    <w:rsid w:val="00992E63"/>
    <w:rsid w:val="00993774"/>
    <w:rsid w:val="009977F7"/>
    <w:rsid w:val="009A20E1"/>
    <w:rsid w:val="009A22C3"/>
    <w:rsid w:val="009A2722"/>
    <w:rsid w:val="009A63AF"/>
    <w:rsid w:val="009A70CF"/>
    <w:rsid w:val="009A7387"/>
    <w:rsid w:val="009B0408"/>
    <w:rsid w:val="009B77D0"/>
    <w:rsid w:val="009C00C5"/>
    <w:rsid w:val="009C059D"/>
    <w:rsid w:val="009C0FCA"/>
    <w:rsid w:val="009C0FD5"/>
    <w:rsid w:val="009C28AD"/>
    <w:rsid w:val="009C2ECA"/>
    <w:rsid w:val="009C48E9"/>
    <w:rsid w:val="009C5847"/>
    <w:rsid w:val="009C788D"/>
    <w:rsid w:val="009D0C5A"/>
    <w:rsid w:val="009D10EB"/>
    <w:rsid w:val="009D4AD2"/>
    <w:rsid w:val="009D50F9"/>
    <w:rsid w:val="009D585F"/>
    <w:rsid w:val="009D6926"/>
    <w:rsid w:val="009D6A21"/>
    <w:rsid w:val="009D786E"/>
    <w:rsid w:val="009E30C4"/>
    <w:rsid w:val="009E464F"/>
    <w:rsid w:val="009E4ED3"/>
    <w:rsid w:val="009E6A40"/>
    <w:rsid w:val="009E6F7D"/>
    <w:rsid w:val="009E7FEC"/>
    <w:rsid w:val="009F2D42"/>
    <w:rsid w:val="009F4099"/>
    <w:rsid w:val="009F684A"/>
    <w:rsid w:val="009F7095"/>
    <w:rsid w:val="00A0016D"/>
    <w:rsid w:val="00A007A1"/>
    <w:rsid w:val="00A00AD3"/>
    <w:rsid w:val="00A02F34"/>
    <w:rsid w:val="00A03473"/>
    <w:rsid w:val="00A058E5"/>
    <w:rsid w:val="00A05966"/>
    <w:rsid w:val="00A11335"/>
    <w:rsid w:val="00A13D91"/>
    <w:rsid w:val="00A141DA"/>
    <w:rsid w:val="00A14265"/>
    <w:rsid w:val="00A14EC9"/>
    <w:rsid w:val="00A1562E"/>
    <w:rsid w:val="00A17DB5"/>
    <w:rsid w:val="00A25F41"/>
    <w:rsid w:val="00A26405"/>
    <w:rsid w:val="00A27544"/>
    <w:rsid w:val="00A30B23"/>
    <w:rsid w:val="00A3106D"/>
    <w:rsid w:val="00A34933"/>
    <w:rsid w:val="00A358CF"/>
    <w:rsid w:val="00A35A96"/>
    <w:rsid w:val="00A37C10"/>
    <w:rsid w:val="00A4368B"/>
    <w:rsid w:val="00A437C6"/>
    <w:rsid w:val="00A43CCE"/>
    <w:rsid w:val="00A43E19"/>
    <w:rsid w:val="00A44320"/>
    <w:rsid w:val="00A443A6"/>
    <w:rsid w:val="00A45335"/>
    <w:rsid w:val="00A46A89"/>
    <w:rsid w:val="00A47B96"/>
    <w:rsid w:val="00A505DA"/>
    <w:rsid w:val="00A50E9C"/>
    <w:rsid w:val="00A51C0B"/>
    <w:rsid w:val="00A5458B"/>
    <w:rsid w:val="00A54725"/>
    <w:rsid w:val="00A551D1"/>
    <w:rsid w:val="00A5604A"/>
    <w:rsid w:val="00A5616A"/>
    <w:rsid w:val="00A56B71"/>
    <w:rsid w:val="00A56DE8"/>
    <w:rsid w:val="00A56FE8"/>
    <w:rsid w:val="00A57315"/>
    <w:rsid w:val="00A5752F"/>
    <w:rsid w:val="00A62BC2"/>
    <w:rsid w:val="00A62EE9"/>
    <w:rsid w:val="00A63C41"/>
    <w:rsid w:val="00A645AE"/>
    <w:rsid w:val="00A6500B"/>
    <w:rsid w:val="00A6620E"/>
    <w:rsid w:val="00A670DA"/>
    <w:rsid w:val="00A67362"/>
    <w:rsid w:val="00A71D96"/>
    <w:rsid w:val="00A721A5"/>
    <w:rsid w:val="00A74DF2"/>
    <w:rsid w:val="00A75973"/>
    <w:rsid w:val="00A75E13"/>
    <w:rsid w:val="00A77F06"/>
    <w:rsid w:val="00A815C0"/>
    <w:rsid w:val="00A819C8"/>
    <w:rsid w:val="00A82717"/>
    <w:rsid w:val="00A828BC"/>
    <w:rsid w:val="00A863DD"/>
    <w:rsid w:val="00A87C20"/>
    <w:rsid w:val="00A87FCF"/>
    <w:rsid w:val="00A90290"/>
    <w:rsid w:val="00A906A4"/>
    <w:rsid w:val="00A90935"/>
    <w:rsid w:val="00A912F0"/>
    <w:rsid w:val="00A91979"/>
    <w:rsid w:val="00A928D2"/>
    <w:rsid w:val="00A93A5B"/>
    <w:rsid w:val="00A97792"/>
    <w:rsid w:val="00A97BD2"/>
    <w:rsid w:val="00AA038E"/>
    <w:rsid w:val="00AA0F1E"/>
    <w:rsid w:val="00AA328E"/>
    <w:rsid w:val="00AA4546"/>
    <w:rsid w:val="00AA67B5"/>
    <w:rsid w:val="00AA6937"/>
    <w:rsid w:val="00AA7A53"/>
    <w:rsid w:val="00AB04C9"/>
    <w:rsid w:val="00AB26FB"/>
    <w:rsid w:val="00AB7136"/>
    <w:rsid w:val="00AC057C"/>
    <w:rsid w:val="00AC1398"/>
    <w:rsid w:val="00AC1722"/>
    <w:rsid w:val="00AC2050"/>
    <w:rsid w:val="00AD0444"/>
    <w:rsid w:val="00AD12FB"/>
    <w:rsid w:val="00AD2D17"/>
    <w:rsid w:val="00AD4FB6"/>
    <w:rsid w:val="00AD64A6"/>
    <w:rsid w:val="00AD6FE3"/>
    <w:rsid w:val="00AD78F2"/>
    <w:rsid w:val="00AE1CF7"/>
    <w:rsid w:val="00AE226B"/>
    <w:rsid w:val="00AE2F86"/>
    <w:rsid w:val="00AE660D"/>
    <w:rsid w:val="00AE6CB3"/>
    <w:rsid w:val="00AF0D2F"/>
    <w:rsid w:val="00AF387E"/>
    <w:rsid w:val="00AF3B64"/>
    <w:rsid w:val="00AF5F9E"/>
    <w:rsid w:val="00B0210F"/>
    <w:rsid w:val="00B0292B"/>
    <w:rsid w:val="00B02BC4"/>
    <w:rsid w:val="00B03B04"/>
    <w:rsid w:val="00B06F01"/>
    <w:rsid w:val="00B1069C"/>
    <w:rsid w:val="00B10C74"/>
    <w:rsid w:val="00B10E5E"/>
    <w:rsid w:val="00B11599"/>
    <w:rsid w:val="00B11A66"/>
    <w:rsid w:val="00B145C3"/>
    <w:rsid w:val="00B21949"/>
    <w:rsid w:val="00B230B5"/>
    <w:rsid w:val="00B24187"/>
    <w:rsid w:val="00B24E74"/>
    <w:rsid w:val="00B25BB6"/>
    <w:rsid w:val="00B25BC0"/>
    <w:rsid w:val="00B25C6C"/>
    <w:rsid w:val="00B263A4"/>
    <w:rsid w:val="00B316FD"/>
    <w:rsid w:val="00B33835"/>
    <w:rsid w:val="00B36935"/>
    <w:rsid w:val="00B40F17"/>
    <w:rsid w:val="00B41645"/>
    <w:rsid w:val="00B43CE4"/>
    <w:rsid w:val="00B43DB8"/>
    <w:rsid w:val="00B447A2"/>
    <w:rsid w:val="00B44CA5"/>
    <w:rsid w:val="00B46C29"/>
    <w:rsid w:val="00B50C5E"/>
    <w:rsid w:val="00B51440"/>
    <w:rsid w:val="00B5162C"/>
    <w:rsid w:val="00B54641"/>
    <w:rsid w:val="00B55275"/>
    <w:rsid w:val="00B5567D"/>
    <w:rsid w:val="00B574D6"/>
    <w:rsid w:val="00B57AFC"/>
    <w:rsid w:val="00B608E8"/>
    <w:rsid w:val="00B62652"/>
    <w:rsid w:val="00B64755"/>
    <w:rsid w:val="00B66742"/>
    <w:rsid w:val="00B66B78"/>
    <w:rsid w:val="00B66D23"/>
    <w:rsid w:val="00B70A8D"/>
    <w:rsid w:val="00B72AF3"/>
    <w:rsid w:val="00B732FC"/>
    <w:rsid w:val="00B733B1"/>
    <w:rsid w:val="00B74268"/>
    <w:rsid w:val="00B778C5"/>
    <w:rsid w:val="00B8033D"/>
    <w:rsid w:val="00B80551"/>
    <w:rsid w:val="00B80635"/>
    <w:rsid w:val="00B818DA"/>
    <w:rsid w:val="00B81B3D"/>
    <w:rsid w:val="00B82981"/>
    <w:rsid w:val="00B84FAF"/>
    <w:rsid w:val="00B91AA7"/>
    <w:rsid w:val="00B93743"/>
    <w:rsid w:val="00B942D2"/>
    <w:rsid w:val="00B943AF"/>
    <w:rsid w:val="00B95F9D"/>
    <w:rsid w:val="00B96866"/>
    <w:rsid w:val="00BA0D30"/>
    <w:rsid w:val="00BA128C"/>
    <w:rsid w:val="00BA1BFA"/>
    <w:rsid w:val="00BA3E61"/>
    <w:rsid w:val="00BA470D"/>
    <w:rsid w:val="00BA539F"/>
    <w:rsid w:val="00BB130F"/>
    <w:rsid w:val="00BB206B"/>
    <w:rsid w:val="00BB3ABA"/>
    <w:rsid w:val="00BB6626"/>
    <w:rsid w:val="00BC0EF5"/>
    <w:rsid w:val="00BC1112"/>
    <w:rsid w:val="00BC3DE6"/>
    <w:rsid w:val="00BC3E1F"/>
    <w:rsid w:val="00BC4DDC"/>
    <w:rsid w:val="00BC4F2B"/>
    <w:rsid w:val="00BC65D0"/>
    <w:rsid w:val="00BC7F77"/>
    <w:rsid w:val="00BD0726"/>
    <w:rsid w:val="00BD1085"/>
    <w:rsid w:val="00BD2C41"/>
    <w:rsid w:val="00BD53E4"/>
    <w:rsid w:val="00BD7D46"/>
    <w:rsid w:val="00BE11F8"/>
    <w:rsid w:val="00BE14AE"/>
    <w:rsid w:val="00BE1D97"/>
    <w:rsid w:val="00BE2837"/>
    <w:rsid w:val="00BE3AAE"/>
    <w:rsid w:val="00BE5C5D"/>
    <w:rsid w:val="00BE65D2"/>
    <w:rsid w:val="00BE6FCD"/>
    <w:rsid w:val="00BF33F2"/>
    <w:rsid w:val="00BF5BF7"/>
    <w:rsid w:val="00C01C06"/>
    <w:rsid w:val="00C02B34"/>
    <w:rsid w:val="00C02E24"/>
    <w:rsid w:val="00C05363"/>
    <w:rsid w:val="00C05888"/>
    <w:rsid w:val="00C05A79"/>
    <w:rsid w:val="00C06E21"/>
    <w:rsid w:val="00C07632"/>
    <w:rsid w:val="00C10C9D"/>
    <w:rsid w:val="00C147F9"/>
    <w:rsid w:val="00C21909"/>
    <w:rsid w:val="00C258DF"/>
    <w:rsid w:val="00C26309"/>
    <w:rsid w:val="00C31EB8"/>
    <w:rsid w:val="00C33115"/>
    <w:rsid w:val="00C35223"/>
    <w:rsid w:val="00C35278"/>
    <w:rsid w:val="00C36AD7"/>
    <w:rsid w:val="00C406AA"/>
    <w:rsid w:val="00C4113E"/>
    <w:rsid w:val="00C425B4"/>
    <w:rsid w:val="00C43B0E"/>
    <w:rsid w:val="00C44074"/>
    <w:rsid w:val="00C44536"/>
    <w:rsid w:val="00C44DB8"/>
    <w:rsid w:val="00C45917"/>
    <w:rsid w:val="00C50758"/>
    <w:rsid w:val="00C5114A"/>
    <w:rsid w:val="00C51D59"/>
    <w:rsid w:val="00C54912"/>
    <w:rsid w:val="00C60A56"/>
    <w:rsid w:val="00C6516D"/>
    <w:rsid w:val="00C677DC"/>
    <w:rsid w:val="00C714A2"/>
    <w:rsid w:val="00C7336B"/>
    <w:rsid w:val="00C73485"/>
    <w:rsid w:val="00C76CBB"/>
    <w:rsid w:val="00C7775A"/>
    <w:rsid w:val="00C802DB"/>
    <w:rsid w:val="00C80591"/>
    <w:rsid w:val="00C8355A"/>
    <w:rsid w:val="00C8374A"/>
    <w:rsid w:val="00C83D54"/>
    <w:rsid w:val="00C85588"/>
    <w:rsid w:val="00C85C34"/>
    <w:rsid w:val="00C87207"/>
    <w:rsid w:val="00C87EB5"/>
    <w:rsid w:val="00C90306"/>
    <w:rsid w:val="00C91C5C"/>
    <w:rsid w:val="00C93CD8"/>
    <w:rsid w:val="00C9735B"/>
    <w:rsid w:val="00C97603"/>
    <w:rsid w:val="00C97A28"/>
    <w:rsid w:val="00CA2B05"/>
    <w:rsid w:val="00CA2EB4"/>
    <w:rsid w:val="00CA3FB6"/>
    <w:rsid w:val="00CA67F4"/>
    <w:rsid w:val="00CA78EF"/>
    <w:rsid w:val="00CA78F6"/>
    <w:rsid w:val="00CB03D4"/>
    <w:rsid w:val="00CB11AF"/>
    <w:rsid w:val="00CB24A0"/>
    <w:rsid w:val="00CB26E0"/>
    <w:rsid w:val="00CB4606"/>
    <w:rsid w:val="00CB54C1"/>
    <w:rsid w:val="00CB57BB"/>
    <w:rsid w:val="00CB765D"/>
    <w:rsid w:val="00CB79F1"/>
    <w:rsid w:val="00CC0E8C"/>
    <w:rsid w:val="00CC2A26"/>
    <w:rsid w:val="00CC46E4"/>
    <w:rsid w:val="00CC55C0"/>
    <w:rsid w:val="00CC5C5B"/>
    <w:rsid w:val="00CC6B45"/>
    <w:rsid w:val="00CC7545"/>
    <w:rsid w:val="00CC7711"/>
    <w:rsid w:val="00CD149C"/>
    <w:rsid w:val="00CD30D6"/>
    <w:rsid w:val="00CD3F2B"/>
    <w:rsid w:val="00CD4D4F"/>
    <w:rsid w:val="00CD5D70"/>
    <w:rsid w:val="00CD6295"/>
    <w:rsid w:val="00CD6F57"/>
    <w:rsid w:val="00CE3AAC"/>
    <w:rsid w:val="00CE5781"/>
    <w:rsid w:val="00CF066F"/>
    <w:rsid w:val="00CF2EDE"/>
    <w:rsid w:val="00CF6444"/>
    <w:rsid w:val="00D02633"/>
    <w:rsid w:val="00D02AFB"/>
    <w:rsid w:val="00D0382A"/>
    <w:rsid w:val="00D0528B"/>
    <w:rsid w:val="00D05C79"/>
    <w:rsid w:val="00D06D21"/>
    <w:rsid w:val="00D100E7"/>
    <w:rsid w:val="00D1268C"/>
    <w:rsid w:val="00D13155"/>
    <w:rsid w:val="00D149FA"/>
    <w:rsid w:val="00D14C50"/>
    <w:rsid w:val="00D15E56"/>
    <w:rsid w:val="00D16B95"/>
    <w:rsid w:val="00D17F5E"/>
    <w:rsid w:val="00D20E62"/>
    <w:rsid w:val="00D24B0C"/>
    <w:rsid w:val="00D2515A"/>
    <w:rsid w:val="00D253FE"/>
    <w:rsid w:val="00D25B74"/>
    <w:rsid w:val="00D269B4"/>
    <w:rsid w:val="00D27271"/>
    <w:rsid w:val="00D27E32"/>
    <w:rsid w:val="00D27FD0"/>
    <w:rsid w:val="00D31186"/>
    <w:rsid w:val="00D31577"/>
    <w:rsid w:val="00D31DED"/>
    <w:rsid w:val="00D32733"/>
    <w:rsid w:val="00D32B15"/>
    <w:rsid w:val="00D33F3D"/>
    <w:rsid w:val="00D3411C"/>
    <w:rsid w:val="00D343EB"/>
    <w:rsid w:val="00D34ACF"/>
    <w:rsid w:val="00D378D2"/>
    <w:rsid w:val="00D37D20"/>
    <w:rsid w:val="00D43333"/>
    <w:rsid w:val="00D43926"/>
    <w:rsid w:val="00D44E5F"/>
    <w:rsid w:val="00D45A20"/>
    <w:rsid w:val="00D45C37"/>
    <w:rsid w:val="00D476F5"/>
    <w:rsid w:val="00D50FC1"/>
    <w:rsid w:val="00D533C5"/>
    <w:rsid w:val="00D5436C"/>
    <w:rsid w:val="00D544F9"/>
    <w:rsid w:val="00D54B87"/>
    <w:rsid w:val="00D55C76"/>
    <w:rsid w:val="00D57CDD"/>
    <w:rsid w:val="00D62A7E"/>
    <w:rsid w:val="00D62F9B"/>
    <w:rsid w:val="00D63B08"/>
    <w:rsid w:val="00D65B8F"/>
    <w:rsid w:val="00D67914"/>
    <w:rsid w:val="00D71711"/>
    <w:rsid w:val="00D71982"/>
    <w:rsid w:val="00D7320E"/>
    <w:rsid w:val="00D7362E"/>
    <w:rsid w:val="00D76456"/>
    <w:rsid w:val="00D76CBF"/>
    <w:rsid w:val="00D7758A"/>
    <w:rsid w:val="00D7781C"/>
    <w:rsid w:val="00D77A0E"/>
    <w:rsid w:val="00D77DB1"/>
    <w:rsid w:val="00D77F85"/>
    <w:rsid w:val="00D80017"/>
    <w:rsid w:val="00D81FFF"/>
    <w:rsid w:val="00D85BED"/>
    <w:rsid w:val="00D867EC"/>
    <w:rsid w:val="00D87192"/>
    <w:rsid w:val="00D87861"/>
    <w:rsid w:val="00D87AB6"/>
    <w:rsid w:val="00D87ED0"/>
    <w:rsid w:val="00D93366"/>
    <w:rsid w:val="00D93A67"/>
    <w:rsid w:val="00D96F3F"/>
    <w:rsid w:val="00D97F6F"/>
    <w:rsid w:val="00DA27EB"/>
    <w:rsid w:val="00DA467C"/>
    <w:rsid w:val="00DA493B"/>
    <w:rsid w:val="00DA5AD2"/>
    <w:rsid w:val="00DA7372"/>
    <w:rsid w:val="00DB040A"/>
    <w:rsid w:val="00DB2570"/>
    <w:rsid w:val="00DB37FC"/>
    <w:rsid w:val="00DB63B0"/>
    <w:rsid w:val="00DC186E"/>
    <w:rsid w:val="00DC6ED3"/>
    <w:rsid w:val="00DD0029"/>
    <w:rsid w:val="00DD3473"/>
    <w:rsid w:val="00DD42F3"/>
    <w:rsid w:val="00DD4666"/>
    <w:rsid w:val="00DD7D21"/>
    <w:rsid w:val="00DE16C2"/>
    <w:rsid w:val="00DE2BF3"/>
    <w:rsid w:val="00DE5AB6"/>
    <w:rsid w:val="00DE7D32"/>
    <w:rsid w:val="00DF146F"/>
    <w:rsid w:val="00DF18BC"/>
    <w:rsid w:val="00DF1B41"/>
    <w:rsid w:val="00DF28AF"/>
    <w:rsid w:val="00DF36E6"/>
    <w:rsid w:val="00DF3F98"/>
    <w:rsid w:val="00DF4FF1"/>
    <w:rsid w:val="00DF7D55"/>
    <w:rsid w:val="00E0002B"/>
    <w:rsid w:val="00E01091"/>
    <w:rsid w:val="00E029DE"/>
    <w:rsid w:val="00E031D1"/>
    <w:rsid w:val="00E03567"/>
    <w:rsid w:val="00E04A65"/>
    <w:rsid w:val="00E0619A"/>
    <w:rsid w:val="00E06C04"/>
    <w:rsid w:val="00E113C8"/>
    <w:rsid w:val="00E12522"/>
    <w:rsid w:val="00E16339"/>
    <w:rsid w:val="00E168FF"/>
    <w:rsid w:val="00E16EDA"/>
    <w:rsid w:val="00E1790F"/>
    <w:rsid w:val="00E201C5"/>
    <w:rsid w:val="00E20638"/>
    <w:rsid w:val="00E20929"/>
    <w:rsid w:val="00E20C80"/>
    <w:rsid w:val="00E22888"/>
    <w:rsid w:val="00E23CC0"/>
    <w:rsid w:val="00E24799"/>
    <w:rsid w:val="00E25860"/>
    <w:rsid w:val="00E26AA2"/>
    <w:rsid w:val="00E27749"/>
    <w:rsid w:val="00E27A72"/>
    <w:rsid w:val="00E35254"/>
    <w:rsid w:val="00E35291"/>
    <w:rsid w:val="00E36FFC"/>
    <w:rsid w:val="00E3752E"/>
    <w:rsid w:val="00E45B7B"/>
    <w:rsid w:val="00E45BF2"/>
    <w:rsid w:val="00E461B3"/>
    <w:rsid w:val="00E4782B"/>
    <w:rsid w:val="00E503E6"/>
    <w:rsid w:val="00E517E6"/>
    <w:rsid w:val="00E5274E"/>
    <w:rsid w:val="00E54A9B"/>
    <w:rsid w:val="00E54C16"/>
    <w:rsid w:val="00E55D59"/>
    <w:rsid w:val="00E56ECC"/>
    <w:rsid w:val="00E6120D"/>
    <w:rsid w:val="00E64D46"/>
    <w:rsid w:val="00E65890"/>
    <w:rsid w:val="00E66D20"/>
    <w:rsid w:val="00E6741C"/>
    <w:rsid w:val="00E67CDC"/>
    <w:rsid w:val="00E70023"/>
    <w:rsid w:val="00E71262"/>
    <w:rsid w:val="00E71E22"/>
    <w:rsid w:val="00E72D42"/>
    <w:rsid w:val="00E735BC"/>
    <w:rsid w:val="00E75DEA"/>
    <w:rsid w:val="00E76A58"/>
    <w:rsid w:val="00E770F3"/>
    <w:rsid w:val="00E777FE"/>
    <w:rsid w:val="00E80C54"/>
    <w:rsid w:val="00E81C59"/>
    <w:rsid w:val="00E84850"/>
    <w:rsid w:val="00E8569F"/>
    <w:rsid w:val="00E8601E"/>
    <w:rsid w:val="00E876E6"/>
    <w:rsid w:val="00E87D5D"/>
    <w:rsid w:val="00E90EBA"/>
    <w:rsid w:val="00E91CE2"/>
    <w:rsid w:val="00E93A19"/>
    <w:rsid w:val="00E957A0"/>
    <w:rsid w:val="00E9673F"/>
    <w:rsid w:val="00E97D9E"/>
    <w:rsid w:val="00EA0EBB"/>
    <w:rsid w:val="00EA2DDB"/>
    <w:rsid w:val="00EA5831"/>
    <w:rsid w:val="00EA597B"/>
    <w:rsid w:val="00EA7EAC"/>
    <w:rsid w:val="00EA7EB6"/>
    <w:rsid w:val="00EB064D"/>
    <w:rsid w:val="00EB0736"/>
    <w:rsid w:val="00EB082D"/>
    <w:rsid w:val="00EB093F"/>
    <w:rsid w:val="00EB4EEE"/>
    <w:rsid w:val="00EB51B5"/>
    <w:rsid w:val="00EB5A51"/>
    <w:rsid w:val="00EB5C0D"/>
    <w:rsid w:val="00EC09AA"/>
    <w:rsid w:val="00EC1063"/>
    <w:rsid w:val="00EC25E7"/>
    <w:rsid w:val="00EC4ACA"/>
    <w:rsid w:val="00EC57BA"/>
    <w:rsid w:val="00EC5FD6"/>
    <w:rsid w:val="00EC6188"/>
    <w:rsid w:val="00EC6390"/>
    <w:rsid w:val="00EC7A5C"/>
    <w:rsid w:val="00ED17D6"/>
    <w:rsid w:val="00ED1DD4"/>
    <w:rsid w:val="00ED35E9"/>
    <w:rsid w:val="00ED67E0"/>
    <w:rsid w:val="00ED7D79"/>
    <w:rsid w:val="00EE1C80"/>
    <w:rsid w:val="00EE4C85"/>
    <w:rsid w:val="00EE756C"/>
    <w:rsid w:val="00EE787D"/>
    <w:rsid w:val="00EF0E46"/>
    <w:rsid w:val="00EF176B"/>
    <w:rsid w:val="00EF1E48"/>
    <w:rsid w:val="00EF260C"/>
    <w:rsid w:val="00EF355D"/>
    <w:rsid w:val="00EF478B"/>
    <w:rsid w:val="00EF6719"/>
    <w:rsid w:val="00F01950"/>
    <w:rsid w:val="00F01B21"/>
    <w:rsid w:val="00F023CA"/>
    <w:rsid w:val="00F03C52"/>
    <w:rsid w:val="00F04938"/>
    <w:rsid w:val="00F051E7"/>
    <w:rsid w:val="00F05CFC"/>
    <w:rsid w:val="00F07D80"/>
    <w:rsid w:val="00F10EC0"/>
    <w:rsid w:val="00F11F85"/>
    <w:rsid w:val="00F12C50"/>
    <w:rsid w:val="00F131D4"/>
    <w:rsid w:val="00F13E5C"/>
    <w:rsid w:val="00F14106"/>
    <w:rsid w:val="00F152F8"/>
    <w:rsid w:val="00F1652C"/>
    <w:rsid w:val="00F16BD3"/>
    <w:rsid w:val="00F200DD"/>
    <w:rsid w:val="00F219A0"/>
    <w:rsid w:val="00F22B9A"/>
    <w:rsid w:val="00F23B5E"/>
    <w:rsid w:val="00F244A0"/>
    <w:rsid w:val="00F244D1"/>
    <w:rsid w:val="00F25D27"/>
    <w:rsid w:val="00F2686A"/>
    <w:rsid w:val="00F26F4C"/>
    <w:rsid w:val="00F30105"/>
    <w:rsid w:val="00F30CC1"/>
    <w:rsid w:val="00F30DA3"/>
    <w:rsid w:val="00F352B4"/>
    <w:rsid w:val="00F35E46"/>
    <w:rsid w:val="00F36301"/>
    <w:rsid w:val="00F373C2"/>
    <w:rsid w:val="00F440C7"/>
    <w:rsid w:val="00F44BAD"/>
    <w:rsid w:val="00F4598B"/>
    <w:rsid w:val="00F47D39"/>
    <w:rsid w:val="00F504E7"/>
    <w:rsid w:val="00F50A1C"/>
    <w:rsid w:val="00F53C5D"/>
    <w:rsid w:val="00F54C3C"/>
    <w:rsid w:val="00F56239"/>
    <w:rsid w:val="00F60DA9"/>
    <w:rsid w:val="00F62707"/>
    <w:rsid w:val="00F62F1E"/>
    <w:rsid w:val="00F639DB"/>
    <w:rsid w:val="00F64E8B"/>
    <w:rsid w:val="00F65495"/>
    <w:rsid w:val="00F67287"/>
    <w:rsid w:val="00F67F3C"/>
    <w:rsid w:val="00F709A8"/>
    <w:rsid w:val="00F71564"/>
    <w:rsid w:val="00F7190C"/>
    <w:rsid w:val="00F71F37"/>
    <w:rsid w:val="00F73F95"/>
    <w:rsid w:val="00F753BA"/>
    <w:rsid w:val="00F76AE0"/>
    <w:rsid w:val="00F774F7"/>
    <w:rsid w:val="00F778A5"/>
    <w:rsid w:val="00F80BAC"/>
    <w:rsid w:val="00F80CDA"/>
    <w:rsid w:val="00F8201C"/>
    <w:rsid w:val="00F8325A"/>
    <w:rsid w:val="00F8465C"/>
    <w:rsid w:val="00F84AF7"/>
    <w:rsid w:val="00F85317"/>
    <w:rsid w:val="00F87A99"/>
    <w:rsid w:val="00F908FD"/>
    <w:rsid w:val="00F90E89"/>
    <w:rsid w:val="00F918BC"/>
    <w:rsid w:val="00F91AD1"/>
    <w:rsid w:val="00F93556"/>
    <w:rsid w:val="00F9367B"/>
    <w:rsid w:val="00F939EC"/>
    <w:rsid w:val="00F93F8D"/>
    <w:rsid w:val="00F9440D"/>
    <w:rsid w:val="00F95970"/>
    <w:rsid w:val="00F96C9F"/>
    <w:rsid w:val="00FA47F3"/>
    <w:rsid w:val="00FA4BC5"/>
    <w:rsid w:val="00FA50ED"/>
    <w:rsid w:val="00FA64CC"/>
    <w:rsid w:val="00FB214C"/>
    <w:rsid w:val="00FB3C2A"/>
    <w:rsid w:val="00FB5486"/>
    <w:rsid w:val="00FC06E5"/>
    <w:rsid w:val="00FC345B"/>
    <w:rsid w:val="00FC4C88"/>
    <w:rsid w:val="00FC4D8B"/>
    <w:rsid w:val="00FC4DFA"/>
    <w:rsid w:val="00FC6916"/>
    <w:rsid w:val="00FC6F8F"/>
    <w:rsid w:val="00FD137B"/>
    <w:rsid w:val="00FD2567"/>
    <w:rsid w:val="00FD3DB7"/>
    <w:rsid w:val="00FD61DE"/>
    <w:rsid w:val="00FD65DC"/>
    <w:rsid w:val="00FD6D47"/>
    <w:rsid w:val="00FE044C"/>
    <w:rsid w:val="00FE1185"/>
    <w:rsid w:val="00FE132C"/>
    <w:rsid w:val="00FE43DB"/>
    <w:rsid w:val="00FE70D1"/>
    <w:rsid w:val="00FF2E99"/>
    <w:rsid w:val="00FF32BC"/>
    <w:rsid w:val="00FF3C88"/>
    <w:rsid w:val="00FF57B2"/>
    <w:rsid w:val="00FF7D8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51F270"/>
  <w15:docId w15:val="{E43FE1C6-DCEE-4549-AA14-B36B39C8B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086B"/>
  </w:style>
  <w:style w:type="paragraph" w:styleId="Ttulo1">
    <w:name w:val="heading 1"/>
    <w:basedOn w:val="Normal"/>
    <w:next w:val="Normal"/>
    <w:link w:val="Ttulo1Char"/>
    <w:uiPriority w:val="9"/>
    <w:qFormat/>
    <w:rsid w:val="00310447"/>
    <w:pPr>
      <w:spacing w:after="120"/>
      <w:jc w:val="both"/>
      <w:outlineLvl w:val="0"/>
    </w:pPr>
    <w:rPr>
      <w:rFonts w:ascii="Tahoma" w:hAnsi="Tahoma" w:cs="Tahoma"/>
      <w:b/>
      <w:color w:val="002060"/>
      <w:sz w:val="24"/>
      <w:szCs w:val="24"/>
    </w:rPr>
  </w:style>
  <w:style w:type="paragraph" w:styleId="Ttulo2">
    <w:name w:val="heading 2"/>
    <w:basedOn w:val="Normal"/>
    <w:next w:val="Normal"/>
    <w:link w:val="Ttulo2Char"/>
    <w:uiPriority w:val="9"/>
    <w:unhideWhenUsed/>
    <w:qFormat/>
    <w:rsid w:val="00F440C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har"/>
    <w:uiPriority w:val="9"/>
    <w:semiHidden/>
    <w:unhideWhenUsed/>
    <w:qFormat/>
    <w:rsid w:val="002B3FE6"/>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336AA3"/>
    <w:pPr>
      <w:ind w:left="720"/>
      <w:contextualSpacing/>
    </w:pPr>
  </w:style>
  <w:style w:type="paragraph" w:styleId="Cabealho">
    <w:name w:val="header"/>
    <w:basedOn w:val="Normal"/>
    <w:link w:val="CabealhoChar"/>
    <w:uiPriority w:val="99"/>
    <w:unhideWhenUsed/>
    <w:rsid w:val="00D8719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87192"/>
  </w:style>
  <w:style w:type="paragraph" w:styleId="Rodap">
    <w:name w:val="footer"/>
    <w:basedOn w:val="Normal"/>
    <w:link w:val="RodapChar"/>
    <w:uiPriority w:val="99"/>
    <w:unhideWhenUsed/>
    <w:rsid w:val="00D87192"/>
    <w:pPr>
      <w:tabs>
        <w:tab w:val="center" w:pos="4252"/>
        <w:tab w:val="right" w:pos="8504"/>
      </w:tabs>
      <w:spacing w:after="0" w:line="240" w:lineRule="auto"/>
    </w:pPr>
  </w:style>
  <w:style w:type="character" w:customStyle="1" w:styleId="RodapChar">
    <w:name w:val="Rodapé Char"/>
    <w:basedOn w:val="Fontepargpadro"/>
    <w:link w:val="Rodap"/>
    <w:uiPriority w:val="99"/>
    <w:rsid w:val="00D87192"/>
  </w:style>
  <w:style w:type="paragraph" w:styleId="Sumrio1">
    <w:name w:val="toc 1"/>
    <w:basedOn w:val="Normal"/>
    <w:next w:val="Normal"/>
    <w:autoRedefine/>
    <w:uiPriority w:val="39"/>
    <w:unhideWhenUsed/>
    <w:rsid w:val="00BC65D0"/>
    <w:pPr>
      <w:spacing w:before="120" w:after="120"/>
    </w:pPr>
    <w:rPr>
      <w:b/>
      <w:bCs/>
      <w:caps/>
      <w:sz w:val="20"/>
      <w:szCs w:val="20"/>
    </w:rPr>
  </w:style>
  <w:style w:type="character" w:styleId="Hyperlink">
    <w:name w:val="Hyperlink"/>
    <w:basedOn w:val="Fontepargpadro"/>
    <w:uiPriority w:val="99"/>
    <w:unhideWhenUsed/>
    <w:rsid w:val="001826D8"/>
    <w:rPr>
      <w:color w:val="0000FF" w:themeColor="hyperlink"/>
      <w:u w:val="single"/>
    </w:rPr>
  </w:style>
  <w:style w:type="paragraph" w:styleId="Textodebalo">
    <w:name w:val="Balloon Text"/>
    <w:basedOn w:val="Normal"/>
    <w:link w:val="TextodebaloChar"/>
    <w:uiPriority w:val="99"/>
    <w:semiHidden/>
    <w:unhideWhenUsed/>
    <w:rsid w:val="005B782C"/>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B782C"/>
    <w:rPr>
      <w:rFonts w:ascii="Tahoma" w:hAnsi="Tahoma" w:cs="Tahoma"/>
      <w:sz w:val="16"/>
      <w:szCs w:val="16"/>
    </w:rPr>
  </w:style>
  <w:style w:type="paragraph" w:styleId="Sumrio2">
    <w:name w:val="toc 2"/>
    <w:basedOn w:val="Normal"/>
    <w:next w:val="Normal"/>
    <w:autoRedefine/>
    <w:uiPriority w:val="39"/>
    <w:unhideWhenUsed/>
    <w:rsid w:val="000C021C"/>
    <w:pPr>
      <w:tabs>
        <w:tab w:val="right" w:leader="dot" w:pos="9061"/>
      </w:tabs>
      <w:spacing w:after="0"/>
      <w:ind w:left="220"/>
    </w:pPr>
    <w:rPr>
      <w:rFonts w:ascii="Tahoma" w:hAnsi="Tahoma" w:cs="Tahoma"/>
      <w:smallCaps/>
      <w:noProof/>
      <w:sz w:val="20"/>
      <w:szCs w:val="20"/>
    </w:rPr>
  </w:style>
  <w:style w:type="paragraph" w:styleId="Sumrio3">
    <w:name w:val="toc 3"/>
    <w:basedOn w:val="Normal"/>
    <w:next w:val="Normal"/>
    <w:autoRedefine/>
    <w:uiPriority w:val="39"/>
    <w:unhideWhenUsed/>
    <w:rsid w:val="007B14C0"/>
    <w:pPr>
      <w:tabs>
        <w:tab w:val="right" w:leader="dot" w:pos="7360"/>
      </w:tabs>
      <w:spacing w:after="0"/>
      <w:ind w:left="440"/>
    </w:pPr>
    <w:rPr>
      <w:rFonts w:ascii="Tahoma" w:hAnsi="Tahoma" w:cs="Tahoma"/>
      <w:iCs/>
      <w:noProof/>
      <w:sz w:val="20"/>
      <w:szCs w:val="20"/>
    </w:rPr>
  </w:style>
  <w:style w:type="paragraph" w:styleId="Textodenotaderodap">
    <w:name w:val="footnote text"/>
    <w:basedOn w:val="Normal"/>
    <w:link w:val="TextodenotaderodapChar"/>
    <w:uiPriority w:val="99"/>
    <w:unhideWhenUsed/>
    <w:rsid w:val="00B316FD"/>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B316FD"/>
    <w:rPr>
      <w:sz w:val="20"/>
      <w:szCs w:val="20"/>
    </w:rPr>
  </w:style>
  <w:style w:type="character" w:styleId="Refdenotaderodap">
    <w:name w:val="footnote reference"/>
    <w:basedOn w:val="Fontepargpadro"/>
    <w:uiPriority w:val="99"/>
    <w:semiHidden/>
    <w:unhideWhenUsed/>
    <w:rsid w:val="00B316FD"/>
    <w:rPr>
      <w:vertAlign w:val="superscript"/>
    </w:rPr>
  </w:style>
  <w:style w:type="paragraph" w:customStyle="1" w:styleId="Default">
    <w:name w:val="Default"/>
    <w:rsid w:val="00CB26E0"/>
    <w:pPr>
      <w:autoSpaceDE w:val="0"/>
      <w:autoSpaceDN w:val="0"/>
      <w:adjustRightInd w:val="0"/>
      <w:spacing w:after="0" w:line="240" w:lineRule="auto"/>
    </w:pPr>
    <w:rPr>
      <w:rFonts w:ascii="Arial" w:hAnsi="Arial" w:cs="Arial"/>
      <w:color w:val="000000"/>
      <w:sz w:val="24"/>
      <w:szCs w:val="24"/>
    </w:rPr>
  </w:style>
  <w:style w:type="character" w:customStyle="1" w:styleId="Ttulo1Char">
    <w:name w:val="Título 1 Char"/>
    <w:basedOn w:val="Fontepargpadro"/>
    <w:link w:val="Ttulo1"/>
    <w:uiPriority w:val="9"/>
    <w:rsid w:val="00310447"/>
    <w:rPr>
      <w:rFonts w:ascii="Tahoma" w:hAnsi="Tahoma" w:cs="Tahoma"/>
      <w:b/>
      <w:color w:val="002060"/>
      <w:sz w:val="24"/>
      <w:szCs w:val="24"/>
    </w:rPr>
  </w:style>
  <w:style w:type="paragraph" w:styleId="Subttulo">
    <w:name w:val="Subtitle"/>
    <w:basedOn w:val="Normal"/>
    <w:next w:val="Normal"/>
    <w:link w:val="SubttuloChar"/>
    <w:uiPriority w:val="11"/>
    <w:qFormat/>
    <w:rsid w:val="00310447"/>
    <w:pPr>
      <w:spacing w:after="120"/>
      <w:jc w:val="both"/>
      <w:outlineLvl w:val="1"/>
    </w:pPr>
    <w:rPr>
      <w:rFonts w:ascii="Tahoma" w:hAnsi="Tahoma" w:cs="Tahoma"/>
      <w:b/>
    </w:rPr>
  </w:style>
  <w:style w:type="character" w:customStyle="1" w:styleId="SubttuloChar">
    <w:name w:val="Subtítulo Char"/>
    <w:basedOn w:val="Fontepargpadro"/>
    <w:link w:val="Subttulo"/>
    <w:uiPriority w:val="11"/>
    <w:rsid w:val="00310447"/>
    <w:rPr>
      <w:rFonts w:ascii="Tahoma" w:hAnsi="Tahoma" w:cs="Tahoma"/>
      <w:b/>
    </w:rPr>
  </w:style>
  <w:style w:type="character" w:styleId="nfaseSutil">
    <w:name w:val="Subtle Emphasis"/>
    <w:aliases w:val="Subtítulo 2"/>
    <w:uiPriority w:val="19"/>
    <w:qFormat/>
    <w:rsid w:val="00251F7D"/>
    <w:rPr>
      <w:rFonts w:ascii="Tahoma" w:hAnsi="Tahoma" w:cs="Tahoma"/>
    </w:rPr>
  </w:style>
  <w:style w:type="paragraph" w:styleId="CabealhodoSumrio">
    <w:name w:val="TOC Heading"/>
    <w:basedOn w:val="Ttulo1"/>
    <w:next w:val="Normal"/>
    <w:uiPriority w:val="39"/>
    <w:unhideWhenUsed/>
    <w:qFormat/>
    <w:rsid w:val="00E4782B"/>
    <w:pPr>
      <w:keepNext/>
      <w:keepLines/>
      <w:spacing w:before="240" w:after="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Sumrio4">
    <w:name w:val="toc 4"/>
    <w:basedOn w:val="Normal"/>
    <w:next w:val="Normal"/>
    <w:autoRedefine/>
    <w:uiPriority w:val="39"/>
    <w:unhideWhenUsed/>
    <w:rsid w:val="00E4782B"/>
    <w:pPr>
      <w:spacing w:after="0"/>
      <w:ind w:left="660"/>
    </w:pPr>
    <w:rPr>
      <w:sz w:val="18"/>
      <w:szCs w:val="18"/>
    </w:rPr>
  </w:style>
  <w:style w:type="paragraph" w:styleId="Sumrio5">
    <w:name w:val="toc 5"/>
    <w:basedOn w:val="Normal"/>
    <w:next w:val="Normal"/>
    <w:autoRedefine/>
    <w:uiPriority w:val="39"/>
    <w:unhideWhenUsed/>
    <w:rsid w:val="00E4782B"/>
    <w:pPr>
      <w:spacing w:after="0"/>
      <w:ind w:left="880"/>
    </w:pPr>
    <w:rPr>
      <w:sz w:val="18"/>
      <w:szCs w:val="18"/>
    </w:rPr>
  </w:style>
  <w:style w:type="paragraph" w:styleId="Sumrio6">
    <w:name w:val="toc 6"/>
    <w:basedOn w:val="Normal"/>
    <w:next w:val="Normal"/>
    <w:autoRedefine/>
    <w:uiPriority w:val="39"/>
    <w:unhideWhenUsed/>
    <w:rsid w:val="00E4782B"/>
    <w:pPr>
      <w:spacing w:after="0"/>
      <w:ind w:left="1100"/>
    </w:pPr>
    <w:rPr>
      <w:sz w:val="18"/>
      <w:szCs w:val="18"/>
    </w:rPr>
  </w:style>
  <w:style w:type="paragraph" w:styleId="Sumrio7">
    <w:name w:val="toc 7"/>
    <w:basedOn w:val="Normal"/>
    <w:next w:val="Normal"/>
    <w:autoRedefine/>
    <w:uiPriority w:val="39"/>
    <w:unhideWhenUsed/>
    <w:rsid w:val="00E4782B"/>
    <w:pPr>
      <w:spacing w:after="0"/>
      <w:ind w:left="1320"/>
    </w:pPr>
    <w:rPr>
      <w:sz w:val="18"/>
      <w:szCs w:val="18"/>
    </w:rPr>
  </w:style>
  <w:style w:type="paragraph" w:styleId="Sumrio8">
    <w:name w:val="toc 8"/>
    <w:basedOn w:val="Normal"/>
    <w:next w:val="Normal"/>
    <w:autoRedefine/>
    <w:uiPriority w:val="39"/>
    <w:unhideWhenUsed/>
    <w:rsid w:val="00E4782B"/>
    <w:pPr>
      <w:spacing w:after="0"/>
      <w:ind w:left="1540"/>
    </w:pPr>
    <w:rPr>
      <w:sz w:val="18"/>
      <w:szCs w:val="18"/>
    </w:rPr>
  </w:style>
  <w:style w:type="paragraph" w:styleId="Sumrio9">
    <w:name w:val="toc 9"/>
    <w:basedOn w:val="Normal"/>
    <w:next w:val="Normal"/>
    <w:autoRedefine/>
    <w:uiPriority w:val="39"/>
    <w:unhideWhenUsed/>
    <w:rsid w:val="00E4782B"/>
    <w:pPr>
      <w:spacing w:after="0"/>
      <w:ind w:left="1760"/>
    </w:pPr>
    <w:rPr>
      <w:sz w:val="18"/>
      <w:szCs w:val="18"/>
    </w:rPr>
  </w:style>
  <w:style w:type="character" w:customStyle="1" w:styleId="Ttulo2Char">
    <w:name w:val="Título 2 Char"/>
    <w:basedOn w:val="Fontepargpadro"/>
    <w:link w:val="Ttulo2"/>
    <w:uiPriority w:val="9"/>
    <w:rsid w:val="00F440C7"/>
    <w:rPr>
      <w:rFonts w:asciiTheme="majorHAnsi" w:eastAsiaTheme="majorEastAsia" w:hAnsiTheme="majorHAnsi" w:cstheme="majorBidi"/>
      <w:color w:val="365F91" w:themeColor="accent1" w:themeShade="BF"/>
      <w:sz w:val="26"/>
      <w:szCs w:val="26"/>
    </w:rPr>
  </w:style>
  <w:style w:type="table" w:styleId="SombreamentoMdio1-nfase1">
    <w:name w:val="Medium Shading 1 Accent 1"/>
    <w:basedOn w:val="Tabelanormal"/>
    <w:uiPriority w:val="63"/>
    <w:rsid w:val="008026B8"/>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Textodenotadefim">
    <w:name w:val="endnote text"/>
    <w:basedOn w:val="Normal"/>
    <w:link w:val="TextodenotadefimChar"/>
    <w:uiPriority w:val="99"/>
    <w:semiHidden/>
    <w:unhideWhenUsed/>
    <w:rsid w:val="00A50E9C"/>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A50E9C"/>
    <w:rPr>
      <w:sz w:val="20"/>
      <w:szCs w:val="20"/>
    </w:rPr>
  </w:style>
  <w:style w:type="character" w:styleId="Refdenotadefim">
    <w:name w:val="endnote reference"/>
    <w:basedOn w:val="Fontepargpadro"/>
    <w:uiPriority w:val="99"/>
    <w:semiHidden/>
    <w:unhideWhenUsed/>
    <w:rsid w:val="00A50E9C"/>
    <w:rPr>
      <w:vertAlign w:val="superscript"/>
    </w:rPr>
  </w:style>
  <w:style w:type="character" w:styleId="Refdecomentrio">
    <w:name w:val="annotation reference"/>
    <w:basedOn w:val="Fontepargpadro"/>
    <w:uiPriority w:val="99"/>
    <w:semiHidden/>
    <w:unhideWhenUsed/>
    <w:rsid w:val="00B80635"/>
    <w:rPr>
      <w:sz w:val="16"/>
      <w:szCs w:val="16"/>
    </w:rPr>
  </w:style>
  <w:style w:type="paragraph" w:styleId="Textodecomentrio">
    <w:name w:val="annotation text"/>
    <w:basedOn w:val="Normal"/>
    <w:link w:val="TextodecomentrioChar"/>
    <w:uiPriority w:val="99"/>
    <w:semiHidden/>
    <w:unhideWhenUsed/>
    <w:rsid w:val="00B80635"/>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B80635"/>
    <w:rPr>
      <w:sz w:val="20"/>
      <w:szCs w:val="20"/>
    </w:rPr>
  </w:style>
  <w:style w:type="paragraph" w:styleId="Assuntodocomentrio">
    <w:name w:val="annotation subject"/>
    <w:basedOn w:val="Textodecomentrio"/>
    <w:next w:val="Textodecomentrio"/>
    <w:link w:val="AssuntodocomentrioChar"/>
    <w:uiPriority w:val="99"/>
    <w:semiHidden/>
    <w:unhideWhenUsed/>
    <w:rsid w:val="00B80635"/>
    <w:rPr>
      <w:b/>
      <w:bCs/>
    </w:rPr>
  </w:style>
  <w:style w:type="character" w:customStyle="1" w:styleId="AssuntodocomentrioChar">
    <w:name w:val="Assunto do comentário Char"/>
    <w:basedOn w:val="TextodecomentrioChar"/>
    <w:link w:val="Assuntodocomentrio"/>
    <w:uiPriority w:val="99"/>
    <w:semiHidden/>
    <w:rsid w:val="00B80635"/>
    <w:rPr>
      <w:b/>
      <w:bCs/>
      <w:sz w:val="20"/>
      <w:szCs w:val="20"/>
    </w:rPr>
  </w:style>
  <w:style w:type="character" w:customStyle="1" w:styleId="Ttulo3Char">
    <w:name w:val="Título 3 Char"/>
    <w:basedOn w:val="Fontepargpadro"/>
    <w:link w:val="Ttulo3"/>
    <w:uiPriority w:val="9"/>
    <w:semiHidden/>
    <w:rsid w:val="002B3FE6"/>
    <w:rPr>
      <w:rFonts w:asciiTheme="majorHAnsi" w:eastAsiaTheme="majorEastAsia" w:hAnsiTheme="majorHAnsi" w:cstheme="majorBidi"/>
      <w:color w:val="243F60" w:themeColor="accent1" w:themeShade="7F"/>
      <w:sz w:val="24"/>
      <w:szCs w:val="24"/>
    </w:rPr>
  </w:style>
  <w:style w:type="table" w:styleId="Tabelacomgrade">
    <w:name w:val="Table Grid"/>
    <w:basedOn w:val="Tabelanormal"/>
    <w:uiPriority w:val="59"/>
    <w:rsid w:val="004D70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6116240">
      <w:bodyDiv w:val="1"/>
      <w:marLeft w:val="0"/>
      <w:marRight w:val="0"/>
      <w:marTop w:val="0"/>
      <w:marBottom w:val="0"/>
      <w:divBdr>
        <w:top w:val="none" w:sz="0" w:space="0" w:color="auto"/>
        <w:left w:val="none" w:sz="0" w:space="0" w:color="auto"/>
        <w:bottom w:val="none" w:sz="0" w:space="0" w:color="auto"/>
        <w:right w:val="none" w:sz="0" w:space="0" w:color="auto"/>
      </w:divBdr>
    </w:div>
    <w:div w:id="635573172">
      <w:bodyDiv w:val="1"/>
      <w:marLeft w:val="0"/>
      <w:marRight w:val="0"/>
      <w:marTop w:val="0"/>
      <w:marBottom w:val="0"/>
      <w:divBdr>
        <w:top w:val="none" w:sz="0" w:space="0" w:color="auto"/>
        <w:left w:val="none" w:sz="0" w:space="0" w:color="auto"/>
        <w:bottom w:val="none" w:sz="0" w:space="0" w:color="auto"/>
        <w:right w:val="none" w:sz="0" w:space="0" w:color="auto"/>
      </w:divBdr>
    </w:div>
    <w:div w:id="1298416986">
      <w:bodyDiv w:val="1"/>
      <w:marLeft w:val="0"/>
      <w:marRight w:val="0"/>
      <w:marTop w:val="0"/>
      <w:marBottom w:val="0"/>
      <w:divBdr>
        <w:top w:val="none" w:sz="0" w:space="0" w:color="auto"/>
        <w:left w:val="none" w:sz="0" w:space="0" w:color="auto"/>
        <w:bottom w:val="none" w:sz="0" w:space="0" w:color="auto"/>
        <w:right w:val="none" w:sz="0" w:space="0" w:color="auto"/>
      </w:divBdr>
    </w:div>
    <w:div w:id="1431899812">
      <w:bodyDiv w:val="1"/>
      <w:marLeft w:val="0"/>
      <w:marRight w:val="0"/>
      <w:marTop w:val="0"/>
      <w:marBottom w:val="0"/>
      <w:divBdr>
        <w:top w:val="none" w:sz="0" w:space="0" w:color="auto"/>
        <w:left w:val="none" w:sz="0" w:space="0" w:color="auto"/>
        <w:bottom w:val="none" w:sz="0" w:space="0" w:color="auto"/>
        <w:right w:val="none" w:sz="0" w:space="0" w:color="auto"/>
      </w:divBdr>
    </w:div>
    <w:div w:id="1591621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4.bin"/><Relationship Id="rId21" Type="http://schemas.openxmlformats.org/officeDocument/2006/relationships/oleObject" Target="embeddings/oleObject9.bin"/><Relationship Id="rId42" Type="http://schemas.openxmlformats.org/officeDocument/2006/relationships/oleObject" Target="embeddings/oleObject30.bin"/><Relationship Id="rId47" Type="http://schemas.openxmlformats.org/officeDocument/2006/relationships/oleObject" Target="embeddings/oleObject35.bin"/><Relationship Id="rId63" Type="http://schemas.openxmlformats.org/officeDocument/2006/relationships/oleObject" Target="embeddings/oleObject39.bin"/><Relationship Id="rId68" Type="http://schemas.openxmlformats.org/officeDocument/2006/relationships/oleObject" Target="embeddings/oleObject43.bin"/><Relationship Id="rId16" Type="http://schemas.openxmlformats.org/officeDocument/2006/relationships/oleObject" Target="embeddings/oleObject4.bin"/><Relationship Id="rId11" Type="http://schemas.openxmlformats.org/officeDocument/2006/relationships/image" Target="media/image1.emf"/><Relationship Id="rId32" Type="http://schemas.openxmlformats.org/officeDocument/2006/relationships/oleObject" Target="embeddings/oleObject20.bin"/><Relationship Id="rId37" Type="http://schemas.openxmlformats.org/officeDocument/2006/relationships/oleObject" Target="embeddings/oleObject25.bin"/><Relationship Id="rId53" Type="http://schemas.openxmlformats.org/officeDocument/2006/relationships/chart" Target="charts/chart5.xml"/><Relationship Id="rId58" Type="http://schemas.openxmlformats.org/officeDocument/2006/relationships/chart" Target="charts/chart8.xml"/><Relationship Id="rId74" Type="http://schemas.openxmlformats.org/officeDocument/2006/relationships/oleObject" Target="embeddings/oleObject48.bin"/><Relationship Id="rId79" Type="http://schemas.openxmlformats.org/officeDocument/2006/relationships/footer" Target="footer1.xml"/><Relationship Id="rId5" Type="http://schemas.openxmlformats.org/officeDocument/2006/relationships/numbering" Target="numbering.xml"/><Relationship Id="rId61" Type="http://schemas.openxmlformats.org/officeDocument/2006/relationships/chart" Target="charts/chart11.xml"/><Relationship Id="rId19" Type="http://schemas.openxmlformats.org/officeDocument/2006/relationships/oleObject" Target="embeddings/oleObject7.bin"/><Relationship Id="rId14" Type="http://schemas.openxmlformats.org/officeDocument/2006/relationships/oleObject" Target="embeddings/oleObject2.bin"/><Relationship Id="rId22" Type="http://schemas.openxmlformats.org/officeDocument/2006/relationships/oleObject" Target="embeddings/oleObject10.bin"/><Relationship Id="rId27" Type="http://schemas.openxmlformats.org/officeDocument/2006/relationships/oleObject" Target="embeddings/oleObject15.bin"/><Relationship Id="rId30" Type="http://schemas.openxmlformats.org/officeDocument/2006/relationships/oleObject" Target="embeddings/oleObject18.bin"/><Relationship Id="rId35" Type="http://schemas.openxmlformats.org/officeDocument/2006/relationships/oleObject" Target="embeddings/oleObject23.bin"/><Relationship Id="rId43" Type="http://schemas.openxmlformats.org/officeDocument/2006/relationships/oleObject" Target="embeddings/oleObject31.bin"/><Relationship Id="rId48" Type="http://schemas.openxmlformats.org/officeDocument/2006/relationships/chart" Target="charts/chart1.xml"/><Relationship Id="rId56" Type="http://schemas.openxmlformats.org/officeDocument/2006/relationships/chart" Target="charts/chart6.xml"/><Relationship Id="rId64" Type="http://schemas.openxmlformats.org/officeDocument/2006/relationships/oleObject" Target="embeddings/oleObject40.bin"/><Relationship Id="rId69" Type="http://schemas.openxmlformats.org/officeDocument/2006/relationships/image" Target="media/image5.png"/><Relationship Id="rId77" Type="http://schemas.openxmlformats.org/officeDocument/2006/relationships/oleObject" Target="embeddings/oleObject51.bin"/><Relationship Id="rId8" Type="http://schemas.openxmlformats.org/officeDocument/2006/relationships/webSettings" Target="webSettings.xml"/><Relationship Id="rId51" Type="http://schemas.openxmlformats.org/officeDocument/2006/relationships/chart" Target="charts/chart3.xml"/><Relationship Id="rId72" Type="http://schemas.openxmlformats.org/officeDocument/2006/relationships/oleObject" Target="embeddings/oleObject46.bin"/><Relationship Id="rId80"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oleObject" Target="embeddings/oleObject1.bin"/><Relationship Id="rId17" Type="http://schemas.openxmlformats.org/officeDocument/2006/relationships/oleObject" Target="embeddings/oleObject5.bin"/><Relationship Id="rId25" Type="http://schemas.openxmlformats.org/officeDocument/2006/relationships/oleObject" Target="embeddings/oleObject13.bin"/><Relationship Id="rId33" Type="http://schemas.openxmlformats.org/officeDocument/2006/relationships/oleObject" Target="embeddings/oleObject21.bin"/><Relationship Id="rId38" Type="http://schemas.openxmlformats.org/officeDocument/2006/relationships/oleObject" Target="embeddings/oleObject26.bin"/><Relationship Id="rId46" Type="http://schemas.openxmlformats.org/officeDocument/2006/relationships/oleObject" Target="embeddings/oleObject34.bin"/><Relationship Id="rId59" Type="http://schemas.openxmlformats.org/officeDocument/2006/relationships/chart" Target="charts/chart9.xml"/><Relationship Id="rId67" Type="http://schemas.openxmlformats.org/officeDocument/2006/relationships/oleObject" Target="embeddings/oleObject42.bin"/><Relationship Id="rId20" Type="http://schemas.openxmlformats.org/officeDocument/2006/relationships/oleObject" Target="embeddings/oleObject8.bin"/><Relationship Id="rId41" Type="http://schemas.openxmlformats.org/officeDocument/2006/relationships/oleObject" Target="embeddings/oleObject29.bin"/><Relationship Id="rId54" Type="http://schemas.openxmlformats.org/officeDocument/2006/relationships/oleObject" Target="embeddings/oleObject36.bin"/><Relationship Id="rId62" Type="http://schemas.openxmlformats.org/officeDocument/2006/relationships/oleObject" Target="embeddings/oleObject38.bin"/><Relationship Id="rId70" Type="http://schemas.openxmlformats.org/officeDocument/2006/relationships/oleObject" Target="embeddings/oleObject44.bin"/><Relationship Id="rId75" Type="http://schemas.openxmlformats.org/officeDocument/2006/relationships/oleObject" Target="embeddings/oleObject49.bin"/><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oleObject" Target="embeddings/oleObject3.bin"/><Relationship Id="rId23" Type="http://schemas.openxmlformats.org/officeDocument/2006/relationships/oleObject" Target="embeddings/oleObject11.bin"/><Relationship Id="rId28" Type="http://schemas.openxmlformats.org/officeDocument/2006/relationships/oleObject" Target="embeddings/oleObject16.bin"/><Relationship Id="rId36" Type="http://schemas.openxmlformats.org/officeDocument/2006/relationships/oleObject" Target="embeddings/oleObject24.bin"/><Relationship Id="rId49" Type="http://schemas.openxmlformats.org/officeDocument/2006/relationships/image" Target="media/image3.emf"/><Relationship Id="rId57" Type="http://schemas.openxmlformats.org/officeDocument/2006/relationships/chart" Target="charts/chart7.xml"/><Relationship Id="rId10" Type="http://schemas.openxmlformats.org/officeDocument/2006/relationships/endnotes" Target="endnotes.xml"/><Relationship Id="rId31" Type="http://schemas.openxmlformats.org/officeDocument/2006/relationships/oleObject" Target="embeddings/oleObject19.bin"/><Relationship Id="rId44" Type="http://schemas.openxmlformats.org/officeDocument/2006/relationships/oleObject" Target="embeddings/oleObject32.bin"/><Relationship Id="rId52" Type="http://schemas.openxmlformats.org/officeDocument/2006/relationships/chart" Target="charts/chart4.xml"/><Relationship Id="rId60" Type="http://schemas.openxmlformats.org/officeDocument/2006/relationships/chart" Target="charts/chart10.xml"/><Relationship Id="rId65" Type="http://schemas.openxmlformats.org/officeDocument/2006/relationships/oleObject" Target="embeddings/oleObject41.bin"/><Relationship Id="rId73" Type="http://schemas.openxmlformats.org/officeDocument/2006/relationships/oleObject" Target="embeddings/oleObject47.bin"/><Relationship Id="rId78" Type="http://schemas.openxmlformats.org/officeDocument/2006/relationships/image" Target="media/image6.emf"/><Relationship Id="rId8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2.emf"/><Relationship Id="rId18" Type="http://schemas.openxmlformats.org/officeDocument/2006/relationships/oleObject" Target="embeddings/oleObject6.bin"/><Relationship Id="rId39" Type="http://schemas.openxmlformats.org/officeDocument/2006/relationships/oleObject" Target="embeddings/oleObject27.bin"/><Relationship Id="rId34" Type="http://schemas.openxmlformats.org/officeDocument/2006/relationships/oleObject" Target="embeddings/oleObject22.bin"/><Relationship Id="rId50" Type="http://schemas.openxmlformats.org/officeDocument/2006/relationships/chart" Target="charts/chart2.xml"/><Relationship Id="rId55" Type="http://schemas.openxmlformats.org/officeDocument/2006/relationships/oleObject" Target="embeddings/oleObject37.bin"/><Relationship Id="rId76" Type="http://schemas.openxmlformats.org/officeDocument/2006/relationships/oleObject" Target="embeddings/oleObject50.bin"/><Relationship Id="rId7" Type="http://schemas.openxmlformats.org/officeDocument/2006/relationships/settings" Target="settings.xml"/><Relationship Id="rId71" Type="http://schemas.openxmlformats.org/officeDocument/2006/relationships/oleObject" Target="embeddings/oleObject45.bin"/><Relationship Id="rId2" Type="http://schemas.openxmlformats.org/officeDocument/2006/relationships/customXml" Target="../customXml/item2.xml"/><Relationship Id="rId29" Type="http://schemas.openxmlformats.org/officeDocument/2006/relationships/oleObject" Target="embeddings/oleObject17.bin"/><Relationship Id="rId24" Type="http://schemas.openxmlformats.org/officeDocument/2006/relationships/oleObject" Target="embeddings/oleObject12.bin"/><Relationship Id="rId40" Type="http://schemas.openxmlformats.org/officeDocument/2006/relationships/oleObject" Target="embeddings/oleObject28.bin"/><Relationship Id="rId45" Type="http://schemas.openxmlformats.org/officeDocument/2006/relationships/oleObject" Target="embeddings/oleObject33.bin"/><Relationship Id="rId66" Type="http://schemas.openxmlformats.org/officeDocument/2006/relationships/image" Target="media/image4.wmf"/></Relationships>
</file>

<file path=word/charts/_rels/chart1.xml.rels><?xml version="1.0" encoding="UTF-8" standalone="yes"?>
<Relationships xmlns="http://schemas.openxmlformats.org/package/2006/relationships"><Relationship Id="rId1" Type="http://schemas.openxmlformats.org/officeDocument/2006/relationships/oleObject" Target="file:///C:\Users\rtadeu\Desktop\Referencia2016_17_18_19_20_21_22_23.xls"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C:\Users\rtadeu\Desktop\Referencia2016_17_18_19_20_21_22_23.xls"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C:\Users\rtadeu\Desktop\Referencia2016_17_18_19_20_21_22_23.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rtadeu\Desktop\Referencia2016_17_18_19_20_21_22_23.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rtadeu\Desktop\Referencia2016_17_18_19_20_21_22_23.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rtadeu\Desktop\Referencia2016_17_18_19_20_21_22_23.xls"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rtadeu\Desktop\Referencia2016_17_18_19_20_21_22_23.xls"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rtadeu\Desktop\Referencia2016_17_18_19_20_21_22_23.xls"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rtadeu\Desktop\Referencia2016_17_18_19_20_21_22_23.xls"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rtadeu\Desktop\Referencia2016_17_18_19_20_21_22_23.xls"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Users\rtadeu\Desktop\Referencia2016_17_18_19_20_21_22_23.xls"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9.0273833768880068E-2"/>
          <c:y val="6.4407723849053314E-2"/>
          <c:w val="0.87706049486263227"/>
          <c:h val="0.65232243931705824"/>
        </c:manualLayout>
      </c:layout>
      <c:areaChart>
        <c:grouping val="stacked"/>
        <c:varyColors val="0"/>
        <c:ser>
          <c:idx val="0"/>
          <c:order val="0"/>
          <c:spPr>
            <a:noFill/>
            <a:ln w="25400">
              <a:noFill/>
            </a:ln>
          </c:spPr>
          <c:cat>
            <c:strRef>
              <c:f>NFSP!$M$25:$AH$25</c:f>
              <c:strCache>
                <c:ptCount val="22"/>
                <c:pt idx="0">
                  <c:v>2003 </c:v>
                </c:pt>
                <c:pt idx="1">
                  <c:v>2004 </c:v>
                </c:pt>
                <c:pt idx="2">
                  <c:v>2005 </c:v>
                </c:pt>
                <c:pt idx="3">
                  <c:v>2006 </c:v>
                </c:pt>
                <c:pt idx="4">
                  <c:v>2007 </c:v>
                </c:pt>
                <c:pt idx="5">
                  <c:v>2008 </c:v>
                </c:pt>
                <c:pt idx="6">
                  <c:v>2009 </c:v>
                </c:pt>
                <c:pt idx="7">
                  <c:v>2010 </c:v>
                </c:pt>
                <c:pt idx="8">
                  <c:v>2011 </c:v>
                </c:pt>
                <c:pt idx="9">
                  <c:v>2012 </c:v>
                </c:pt>
                <c:pt idx="10">
                  <c:v>2013 </c:v>
                </c:pt>
                <c:pt idx="11">
                  <c:v>2014 </c:v>
                </c:pt>
                <c:pt idx="12">
                  <c:v>2015 </c:v>
                </c:pt>
                <c:pt idx="13">
                  <c:v>2016 </c:v>
                </c:pt>
                <c:pt idx="14">
                  <c:v>2017 </c:v>
                </c:pt>
                <c:pt idx="15">
                  <c:v>2018</c:v>
                </c:pt>
                <c:pt idx="16">
                  <c:v>2019</c:v>
                </c:pt>
                <c:pt idx="17">
                  <c:v>2020</c:v>
                </c:pt>
                <c:pt idx="18">
                  <c:v>2021</c:v>
                </c:pt>
                <c:pt idx="19">
                  <c:v>2022</c:v>
                </c:pt>
                <c:pt idx="20">
                  <c:v>2023</c:v>
                </c:pt>
                <c:pt idx="21">
                  <c:v>2024*</c:v>
                </c:pt>
              </c:strCache>
            </c:strRef>
          </c:cat>
          <c:val>
            <c:numRef>
              <c:f>NFSP!$B$43:$B$64</c:f>
              <c:numCache>
                <c:formatCode>_(* #,##0.00_);_(* \(#,##0.00\);_(* "-"??_);_(@_)</c:formatCode>
                <c:ptCount val="22"/>
                <c:pt idx="0">
                  <c:v>3.24</c:v>
                </c:pt>
                <c:pt idx="1">
                  <c:v>3.69</c:v>
                </c:pt>
                <c:pt idx="2">
                  <c:v>3.74</c:v>
                </c:pt>
                <c:pt idx="3">
                  <c:v>3.15</c:v>
                </c:pt>
                <c:pt idx="4">
                  <c:v>3.24</c:v>
                </c:pt>
                <c:pt idx="5">
                  <c:v>3.33</c:v>
                </c:pt>
                <c:pt idx="6">
                  <c:v>1.95</c:v>
                </c:pt>
                <c:pt idx="7">
                  <c:v>2.62</c:v>
                </c:pt>
                <c:pt idx="8">
                  <c:v>2.94</c:v>
                </c:pt>
                <c:pt idx="9">
                  <c:v>2.1800000000000002</c:v>
                </c:pt>
                <c:pt idx="10">
                  <c:v>1.71</c:v>
                </c:pt>
                <c:pt idx="11">
                  <c:v>-0.56000000000000005</c:v>
                </c:pt>
                <c:pt idx="12">
                  <c:v>-1.86</c:v>
                </c:pt>
                <c:pt idx="13">
                  <c:v>-2.48</c:v>
                </c:pt>
                <c:pt idx="14">
                  <c:v>-1.68</c:v>
                </c:pt>
                <c:pt idx="15">
                  <c:v>-1.55</c:v>
                </c:pt>
                <c:pt idx="16">
                  <c:v>-0.84</c:v>
                </c:pt>
                <c:pt idx="17">
                  <c:v>-9.24</c:v>
                </c:pt>
                <c:pt idx="18">
                  <c:v>0.72</c:v>
                </c:pt>
                <c:pt idx="19">
                  <c:v>1.25</c:v>
                </c:pt>
                <c:pt idx="20">
                  <c:v>-2.29</c:v>
                </c:pt>
                <c:pt idx="21">
                  <c:v>-1.1399999999999999</c:v>
                </c:pt>
              </c:numCache>
            </c:numRef>
          </c:val>
          <c:extLst>
            <c:ext xmlns:c16="http://schemas.microsoft.com/office/drawing/2014/chart" uri="{C3380CC4-5D6E-409C-BE32-E72D297353CC}">
              <c16:uniqueId val="{00000000-74EE-474B-A9B4-D40BB1D200CE}"/>
            </c:ext>
          </c:extLst>
        </c:ser>
        <c:ser>
          <c:idx val="1"/>
          <c:order val="1"/>
          <c:tx>
            <c:strRef>
              <c:f>NFSP!$C$42</c:f>
              <c:strCache>
                <c:ptCount val="1"/>
                <c:pt idx="0">
                  <c:v>Déficit Público</c:v>
                </c:pt>
              </c:strCache>
            </c:strRef>
          </c:tx>
          <c:spPr>
            <a:solidFill>
              <a:schemeClr val="bg1">
                <a:lumMod val="85000"/>
              </a:schemeClr>
            </a:solidFill>
            <a:ln>
              <a:solidFill>
                <a:schemeClr val="bg1">
                  <a:lumMod val="75000"/>
                </a:schemeClr>
              </a:solidFill>
            </a:ln>
            <a:effectLst/>
          </c:spPr>
          <c:cat>
            <c:strRef>
              <c:f>NFSP!$M$25:$AH$25</c:f>
              <c:strCache>
                <c:ptCount val="22"/>
                <c:pt idx="0">
                  <c:v>2003 </c:v>
                </c:pt>
                <c:pt idx="1">
                  <c:v>2004 </c:v>
                </c:pt>
                <c:pt idx="2">
                  <c:v>2005 </c:v>
                </c:pt>
                <c:pt idx="3">
                  <c:v>2006 </c:v>
                </c:pt>
                <c:pt idx="4">
                  <c:v>2007 </c:v>
                </c:pt>
                <c:pt idx="5">
                  <c:v>2008 </c:v>
                </c:pt>
                <c:pt idx="6">
                  <c:v>2009 </c:v>
                </c:pt>
                <c:pt idx="7">
                  <c:v>2010 </c:v>
                </c:pt>
                <c:pt idx="8">
                  <c:v>2011 </c:v>
                </c:pt>
                <c:pt idx="9">
                  <c:v>2012 </c:v>
                </c:pt>
                <c:pt idx="10">
                  <c:v>2013 </c:v>
                </c:pt>
                <c:pt idx="11">
                  <c:v>2014 </c:v>
                </c:pt>
                <c:pt idx="12">
                  <c:v>2015 </c:v>
                </c:pt>
                <c:pt idx="13">
                  <c:v>2016 </c:v>
                </c:pt>
                <c:pt idx="14">
                  <c:v>2017 </c:v>
                </c:pt>
                <c:pt idx="15">
                  <c:v>2018</c:v>
                </c:pt>
                <c:pt idx="16">
                  <c:v>2019</c:v>
                </c:pt>
                <c:pt idx="17">
                  <c:v>2020</c:v>
                </c:pt>
                <c:pt idx="18">
                  <c:v>2021</c:v>
                </c:pt>
                <c:pt idx="19">
                  <c:v>2022</c:v>
                </c:pt>
                <c:pt idx="20">
                  <c:v>2023</c:v>
                </c:pt>
                <c:pt idx="21">
                  <c:v>2024*</c:v>
                </c:pt>
              </c:strCache>
            </c:strRef>
          </c:cat>
          <c:val>
            <c:numRef>
              <c:f>NFSP!$C$43:$C$64</c:f>
              <c:numCache>
                <c:formatCode>_(* #,##0.00_);_(* \(#,##0.00\);_(* "-"??_);_(@_)</c:formatCode>
                <c:ptCount val="22"/>
                <c:pt idx="0">
                  <c:v>5.18</c:v>
                </c:pt>
                <c:pt idx="1">
                  <c:v>2.8699999999999997</c:v>
                </c:pt>
                <c:pt idx="2">
                  <c:v>3.54</c:v>
                </c:pt>
                <c:pt idx="3">
                  <c:v>3.57</c:v>
                </c:pt>
                <c:pt idx="4">
                  <c:v>2.74</c:v>
                </c:pt>
                <c:pt idx="5">
                  <c:v>1.9900000000000002</c:v>
                </c:pt>
                <c:pt idx="6">
                  <c:v>3.1799999999999997</c:v>
                </c:pt>
                <c:pt idx="7">
                  <c:v>2.41</c:v>
                </c:pt>
                <c:pt idx="8">
                  <c:v>2.4700000000000002</c:v>
                </c:pt>
                <c:pt idx="9">
                  <c:v>2.2600000000000002</c:v>
                </c:pt>
                <c:pt idx="10">
                  <c:v>2.96</c:v>
                </c:pt>
                <c:pt idx="11">
                  <c:v>5.9499999999999993</c:v>
                </c:pt>
                <c:pt idx="12">
                  <c:v>10.229999999999999</c:v>
                </c:pt>
                <c:pt idx="13">
                  <c:v>8.9700000000000006</c:v>
                </c:pt>
                <c:pt idx="14">
                  <c:v>7.77</c:v>
                </c:pt>
                <c:pt idx="15">
                  <c:v>7.05</c:v>
                </c:pt>
                <c:pt idx="16">
                  <c:v>5.8999999999999995</c:v>
                </c:pt>
                <c:pt idx="17">
                  <c:v>13.350000000000001</c:v>
                </c:pt>
                <c:pt idx="18">
                  <c:v>4.2600000000000007</c:v>
                </c:pt>
                <c:pt idx="19">
                  <c:v>4.57</c:v>
                </c:pt>
                <c:pt idx="20">
                  <c:v>8.91</c:v>
                </c:pt>
                <c:pt idx="21">
                  <c:v>9.09</c:v>
                </c:pt>
              </c:numCache>
            </c:numRef>
          </c:val>
          <c:extLst>
            <c:ext xmlns:c16="http://schemas.microsoft.com/office/drawing/2014/chart" uri="{C3380CC4-5D6E-409C-BE32-E72D297353CC}">
              <c16:uniqueId val="{00000001-74EE-474B-A9B4-D40BB1D200CE}"/>
            </c:ext>
          </c:extLst>
        </c:ser>
        <c:dLbls>
          <c:showLegendKey val="0"/>
          <c:showVal val="0"/>
          <c:showCatName val="0"/>
          <c:showSerName val="0"/>
          <c:showPercent val="0"/>
          <c:showBubbleSize val="0"/>
        </c:dLbls>
        <c:axId val="274094336"/>
        <c:axId val="274137856"/>
      </c:areaChart>
      <c:lineChart>
        <c:grouping val="standard"/>
        <c:varyColors val="0"/>
        <c:ser>
          <c:idx val="2"/>
          <c:order val="2"/>
          <c:tx>
            <c:strRef>
              <c:f>NFSP!$A$42</c:f>
              <c:strCache>
                <c:ptCount val="1"/>
                <c:pt idx="0">
                  <c:v>Juros Nominais</c:v>
                </c:pt>
              </c:strCache>
            </c:strRef>
          </c:tx>
          <c:spPr>
            <a:ln w="28575" cap="rnd">
              <a:solidFill>
                <a:srgbClr val="0070C0"/>
              </a:solidFill>
              <a:round/>
            </a:ln>
            <a:effectLst/>
          </c:spPr>
          <c:marker>
            <c:symbol val="none"/>
          </c:marker>
          <c:dLbls>
            <c:dLbl>
              <c:idx val="0"/>
              <c:layout>
                <c:manualLayout>
                  <c:x val="-1.3876314729670557E-2"/>
                  <c:y val="-1.156073098687900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74EE-474B-A9B4-D40BB1D200CE}"/>
                </c:ext>
              </c:extLst>
            </c:dLbl>
            <c:dLbl>
              <c:idx val="1"/>
              <c:layout>
                <c:manualLayout>
                  <c:x val="-2.9020738487508593E-2"/>
                  <c:y val="-3.119339872420460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74EE-474B-A9B4-D40BB1D200CE}"/>
                </c:ext>
              </c:extLst>
            </c:dLbl>
            <c:dLbl>
              <c:idx val="2"/>
              <c:layout>
                <c:manualLayout>
                  <c:x val="-4.0092581327962562E-2"/>
                  <c:y val="-2.395141729780958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74EE-474B-A9B4-D40BB1D200CE}"/>
                </c:ext>
              </c:extLst>
            </c:dLbl>
            <c:dLbl>
              <c:idx val="3"/>
              <c:layout>
                <c:manualLayout>
                  <c:x val="-2.090591952117218E-2"/>
                  <c:y val="-3.049554866374541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74EE-474B-A9B4-D40BB1D200CE}"/>
                </c:ext>
              </c:extLst>
            </c:dLbl>
            <c:dLbl>
              <c:idx val="4"/>
              <c:layout>
                <c:manualLayout>
                  <c:x val="-2.0905919521172135E-2"/>
                  <c:y val="-3.388394295971706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74EE-474B-A9B4-D40BB1D200CE}"/>
                </c:ext>
              </c:extLst>
            </c:dLbl>
            <c:dLbl>
              <c:idx val="5"/>
              <c:layout>
                <c:manualLayout>
                  <c:x val="-2.3228799467969127E-2"/>
                  <c:y val="-3.388394295971706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74EE-474B-A9B4-D40BB1D200CE}"/>
                </c:ext>
              </c:extLst>
            </c:dLbl>
            <c:dLbl>
              <c:idx val="6"/>
              <c:layout>
                <c:manualLayout>
                  <c:x val="-3.4239632650693692E-2"/>
                  <c:y val="-2.464917614509612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74EE-474B-A9B4-D40BB1D200CE}"/>
                </c:ext>
              </c:extLst>
            </c:dLbl>
            <c:dLbl>
              <c:idx val="7"/>
              <c:layout>
                <c:manualLayout>
                  <c:x val="-2.7874563019741928E-2"/>
                  <c:y val="-2.78049942934359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74EE-474B-A9B4-D40BB1D200CE}"/>
                </c:ext>
              </c:extLst>
            </c:dLbl>
            <c:dLbl>
              <c:idx val="8"/>
              <c:layout>
                <c:manualLayout>
                  <c:x val="-3.2520319255156742E-2"/>
                  <c:y val="-3.049554866374535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74EE-474B-A9B4-D40BB1D200CE}"/>
                </c:ext>
              </c:extLst>
            </c:dLbl>
            <c:dLbl>
              <c:idx val="9"/>
              <c:layout>
                <c:manualLayout>
                  <c:x val="-2.784411407415021E-2"/>
                  <c:y val="-2.780499429343592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74EE-474B-A9B4-D40BB1D200CE}"/>
                </c:ext>
              </c:extLst>
            </c:dLbl>
            <c:dLbl>
              <c:idx val="10"/>
              <c:layout>
                <c:manualLayout>
                  <c:x val="-4.4134718989141175E-2"/>
                  <c:y val="-3.388394295971706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74EE-474B-A9B4-D40BB1D200CE}"/>
                </c:ext>
              </c:extLst>
            </c:dLbl>
            <c:dLbl>
              <c:idx val="11"/>
              <c:layout>
                <c:manualLayout>
                  <c:x val="-4.2384932263496211E-2"/>
                  <c:y val="-2.803758057586475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74EE-474B-A9B4-D40BB1D200CE}"/>
                </c:ext>
              </c:extLst>
            </c:dLbl>
            <c:dLbl>
              <c:idx val="12"/>
              <c:layout>
                <c:manualLayout>
                  <c:x val="-2.0241384360622432E-2"/>
                  <c:y val="-1.42513765703612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74EE-474B-A9B4-D40BB1D200CE}"/>
                </c:ext>
              </c:extLst>
            </c:dLbl>
            <c:dLbl>
              <c:idx val="13"/>
              <c:layout>
                <c:manualLayout>
                  <c:x val="1.1752000992018454E-16"/>
                  <c:y val="-1.891252955082742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74EE-474B-A9B4-D40BB1D200CE}"/>
                </c:ext>
              </c:extLst>
            </c:dLbl>
            <c:dLbl>
              <c:idx val="14"/>
              <c:layout>
                <c:manualLayout>
                  <c:x val="-1.6026118088797827E-3"/>
                  <c:y val="-1.26083530338849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74EE-474B-A9B4-D40BB1D200CE}"/>
                </c:ext>
              </c:extLst>
            </c:dLbl>
            <c:dLbl>
              <c:idx val="15"/>
              <c:layout>
                <c:manualLayout>
                  <c:x val="0"/>
                  <c:y val="-2.836879432624113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74EE-474B-A9B4-D40BB1D200CE}"/>
                </c:ext>
              </c:extLst>
            </c:dLbl>
            <c:spPr>
              <a:noFill/>
              <a:ln w="25400">
                <a:noFill/>
              </a:ln>
            </c:spPr>
            <c:txPr>
              <a:bodyPr rot="0" vert="horz"/>
              <a:lstStyle/>
              <a:p>
                <a:pPr>
                  <a:defRPr sz="600"/>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NFSP!$A$43:$A$64</c:f>
              <c:numCache>
                <c:formatCode>_(* #,##0.00_);_(* \(#,##0.00\);_(* "-"??_);_(@_)</c:formatCode>
                <c:ptCount val="22"/>
                <c:pt idx="0">
                  <c:v>8.42</c:v>
                </c:pt>
                <c:pt idx="1">
                  <c:v>6.56</c:v>
                </c:pt>
                <c:pt idx="2">
                  <c:v>7.28</c:v>
                </c:pt>
                <c:pt idx="3">
                  <c:v>6.72</c:v>
                </c:pt>
                <c:pt idx="4">
                  <c:v>5.98</c:v>
                </c:pt>
                <c:pt idx="5">
                  <c:v>5.32</c:v>
                </c:pt>
                <c:pt idx="6">
                  <c:v>5.13</c:v>
                </c:pt>
                <c:pt idx="7">
                  <c:v>5.03</c:v>
                </c:pt>
                <c:pt idx="8">
                  <c:v>5.41</c:v>
                </c:pt>
                <c:pt idx="9">
                  <c:v>4.4400000000000004</c:v>
                </c:pt>
                <c:pt idx="10">
                  <c:v>4.67</c:v>
                </c:pt>
                <c:pt idx="11">
                  <c:v>5.39</c:v>
                </c:pt>
                <c:pt idx="12">
                  <c:v>8.3699999999999992</c:v>
                </c:pt>
                <c:pt idx="13">
                  <c:v>6.49</c:v>
                </c:pt>
                <c:pt idx="14">
                  <c:v>6.09</c:v>
                </c:pt>
                <c:pt idx="15">
                  <c:v>5.5</c:v>
                </c:pt>
                <c:pt idx="16">
                  <c:v>5.0599999999999996</c:v>
                </c:pt>
                <c:pt idx="17">
                  <c:v>4.1100000000000003</c:v>
                </c:pt>
                <c:pt idx="18">
                  <c:v>4.9800000000000004</c:v>
                </c:pt>
                <c:pt idx="19">
                  <c:v>5.82</c:v>
                </c:pt>
                <c:pt idx="20">
                  <c:v>6.62</c:v>
                </c:pt>
                <c:pt idx="21" formatCode="General">
                  <c:v>7.95</c:v>
                </c:pt>
              </c:numCache>
            </c:numRef>
          </c:val>
          <c:smooth val="0"/>
          <c:extLst>
            <c:ext xmlns:c16="http://schemas.microsoft.com/office/drawing/2014/chart" uri="{C3380CC4-5D6E-409C-BE32-E72D297353CC}">
              <c16:uniqueId val="{00000012-74EE-474B-A9B4-D40BB1D200CE}"/>
            </c:ext>
          </c:extLst>
        </c:ser>
        <c:ser>
          <c:idx val="3"/>
          <c:order val="3"/>
          <c:tx>
            <c:strRef>
              <c:f>NFSP!$B$42</c:f>
              <c:strCache>
                <c:ptCount val="1"/>
                <c:pt idx="0">
                  <c:v>Resultado Primário</c:v>
                </c:pt>
              </c:strCache>
            </c:strRef>
          </c:tx>
          <c:spPr>
            <a:ln w="25400">
              <a:solidFill>
                <a:srgbClr val="FF0000"/>
              </a:solidFill>
              <a:prstDash val="solid"/>
            </a:ln>
          </c:spPr>
          <c:marker>
            <c:symbol val="none"/>
          </c:marker>
          <c:dLbls>
            <c:dLbl>
              <c:idx val="0"/>
              <c:layout>
                <c:manualLayout>
                  <c:x val="-1.8491603324363524E-2"/>
                  <c:y val="2.733982172857826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74EE-474B-A9B4-D40BB1D200CE}"/>
                </c:ext>
              </c:extLst>
            </c:dLbl>
            <c:dLbl>
              <c:idx val="1"/>
              <c:layout>
                <c:manualLayout>
                  <c:x val="-3.2520319255156679E-2"/>
                  <c:y val="3.049554866374535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74EE-474B-A9B4-D40BB1D200CE}"/>
                </c:ext>
              </c:extLst>
            </c:dLbl>
            <c:dLbl>
              <c:idx val="2"/>
              <c:layout>
                <c:manualLayout>
                  <c:x val="-3.4843199201953563E-2"/>
                  <c:y val="3.049554866374535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74EE-474B-A9B4-D40BB1D200CE}"/>
                </c:ext>
              </c:extLst>
            </c:dLbl>
            <c:dLbl>
              <c:idx val="3"/>
              <c:layout>
                <c:manualLayout>
                  <c:x val="-4.4134718989141217E-2"/>
                  <c:y val="3.388394295971718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74EE-474B-A9B4-D40BB1D200CE}"/>
                </c:ext>
              </c:extLst>
            </c:dLbl>
            <c:dLbl>
              <c:idx val="4"/>
              <c:layout>
                <c:manualLayout>
                  <c:x val="-4.181183904234427E-2"/>
                  <c:y val="3.049554866374535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74EE-474B-A9B4-D40BB1D200CE}"/>
                </c:ext>
              </c:extLst>
            </c:dLbl>
            <c:dLbl>
              <c:idx val="5"/>
              <c:layout>
                <c:manualLayout>
                  <c:x val="-4.4134718989141258E-2"/>
                  <c:y val="3.388394295971706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74EE-474B-A9B4-D40BB1D200CE}"/>
                </c:ext>
              </c:extLst>
            </c:dLbl>
            <c:dLbl>
              <c:idx val="6"/>
              <c:layout>
                <c:manualLayout>
                  <c:x val="-4.6457598935938163E-2"/>
                  <c:y val="2.371876007180194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74EE-474B-A9B4-D40BB1D200CE}"/>
                </c:ext>
              </c:extLst>
            </c:dLbl>
            <c:dLbl>
              <c:idx val="7"/>
              <c:layout>
                <c:manualLayout>
                  <c:x val="-3.4843199201953563E-2"/>
                  <c:y val="3.049554866374535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74EE-474B-A9B4-D40BB1D200CE}"/>
                </c:ext>
              </c:extLst>
            </c:dLbl>
            <c:dLbl>
              <c:idx val="8"/>
              <c:layout>
                <c:manualLayout>
                  <c:x val="-3.7166038100311077E-2"/>
                  <c:y val="3.096081244177577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74EE-474B-A9B4-D40BB1D200CE}"/>
                </c:ext>
              </c:extLst>
            </c:dLbl>
            <c:dLbl>
              <c:idx val="9"/>
              <c:layout>
                <c:manualLayout>
                  <c:x val="-3.2520319255156742E-2"/>
                  <c:y val="3.049554866374535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C-74EE-474B-A9B4-D40BB1D200CE}"/>
                </c:ext>
              </c:extLst>
            </c:dLbl>
            <c:dLbl>
              <c:idx val="10"/>
              <c:layout>
                <c:manualLayout>
                  <c:x val="-4.2958088886396635E-2"/>
                  <c:y val="2.803758057586475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D-74EE-474B-A9B4-D40BB1D200CE}"/>
                </c:ext>
              </c:extLst>
            </c:dLbl>
            <c:dLbl>
              <c:idx val="11"/>
              <c:layout>
                <c:manualLayout>
                  <c:x val="-3.7678159053994097E-2"/>
                  <c:y val="1.787236728355859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E-74EE-474B-A9B4-D40BB1D200CE}"/>
                </c:ext>
              </c:extLst>
            </c:dLbl>
            <c:dLbl>
              <c:idx val="12"/>
              <c:layout>
                <c:manualLayout>
                  <c:x val="-1.7375876802188484E-2"/>
                  <c:y val="2.780499429343592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F-74EE-474B-A9B4-D40BB1D200CE}"/>
                </c:ext>
              </c:extLst>
            </c:dLbl>
            <c:dLbl>
              <c:idx val="14"/>
              <c:layout>
                <c:manualLayout>
                  <c:x val="0"/>
                  <c:y val="3.152088258471236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0-74EE-474B-A9B4-D40BB1D200CE}"/>
                </c:ext>
              </c:extLst>
            </c:dLbl>
            <c:dLbl>
              <c:idx val="15"/>
              <c:layout>
                <c:manualLayout>
                  <c:x val="0"/>
                  <c:y val="2.521670606776989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1-74EE-474B-A9B4-D40BB1D200CE}"/>
                </c:ext>
              </c:extLst>
            </c:dLbl>
            <c:dLbl>
              <c:idx val="21"/>
              <c:layout>
                <c:manualLayout>
                  <c:x val="-1.3522650439486139E-3"/>
                  <c:y val="-6.873977086743043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2-74EE-474B-A9B4-D40BB1D200CE}"/>
                </c:ext>
              </c:extLst>
            </c:dLbl>
            <c:spPr>
              <a:noFill/>
              <a:ln w="25400">
                <a:noFill/>
              </a:ln>
            </c:spPr>
            <c:txPr>
              <a:bodyPr rot="0" vert="horz"/>
              <a:lstStyle/>
              <a:p>
                <a:pPr>
                  <a:defRPr sz="600"/>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NFSP!$B$43:$B$64</c:f>
              <c:numCache>
                <c:formatCode>_(* #,##0.00_);_(* \(#,##0.00\);_(* "-"??_);_(@_)</c:formatCode>
                <c:ptCount val="22"/>
                <c:pt idx="0">
                  <c:v>3.24</c:v>
                </c:pt>
                <c:pt idx="1">
                  <c:v>3.69</c:v>
                </c:pt>
                <c:pt idx="2">
                  <c:v>3.74</c:v>
                </c:pt>
                <c:pt idx="3">
                  <c:v>3.15</c:v>
                </c:pt>
                <c:pt idx="4">
                  <c:v>3.24</c:v>
                </c:pt>
                <c:pt idx="5">
                  <c:v>3.33</c:v>
                </c:pt>
                <c:pt idx="6">
                  <c:v>1.95</c:v>
                </c:pt>
                <c:pt idx="7">
                  <c:v>2.62</c:v>
                </c:pt>
                <c:pt idx="8">
                  <c:v>2.94</c:v>
                </c:pt>
                <c:pt idx="9">
                  <c:v>2.1800000000000002</c:v>
                </c:pt>
                <c:pt idx="10">
                  <c:v>1.71</c:v>
                </c:pt>
                <c:pt idx="11">
                  <c:v>-0.56000000000000005</c:v>
                </c:pt>
                <c:pt idx="12">
                  <c:v>-1.86</c:v>
                </c:pt>
                <c:pt idx="13">
                  <c:v>-2.48</c:v>
                </c:pt>
                <c:pt idx="14">
                  <c:v>-1.68</c:v>
                </c:pt>
                <c:pt idx="15">
                  <c:v>-1.55</c:v>
                </c:pt>
                <c:pt idx="16">
                  <c:v>-0.84</c:v>
                </c:pt>
                <c:pt idx="17">
                  <c:v>-9.24</c:v>
                </c:pt>
                <c:pt idx="18">
                  <c:v>0.72</c:v>
                </c:pt>
                <c:pt idx="19">
                  <c:v>1.25</c:v>
                </c:pt>
                <c:pt idx="20">
                  <c:v>-2.29</c:v>
                </c:pt>
                <c:pt idx="21">
                  <c:v>-1.1399999999999999</c:v>
                </c:pt>
              </c:numCache>
            </c:numRef>
          </c:val>
          <c:smooth val="0"/>
          <c:extLst>
            <c:ext xmlns:c16="http://schemas.microsoft.com/office/drawing/2014/chart" uri="{C3380CC4-5D6E-409C-BE32-E72D297353CC}">
              <c16:uniqueId val="{00000023-74EE-474B-A9B4-D40BB1D200CE}"/>
            </c:ext>
          </c:extLst>
        </c:ser>
        <c:dLbls>
          <c:showLegendKey val="0"/>
          <c:showVal val="0"/>
          <c:showCatName val="0"/>
          <c:showSerName val="0"/>
          <c:showPercent val="0"/>
          <c:showBubbleSize val="0"/>
        </c:dLbls>
        <c:marker val="1"/>
        <c:smooth val="0"/>
        <c:axId val="274094336"/>
        <c:axId val="274137856"/>
      </c:lineChart>
      <c:catAx>
        <c:axId val="274094336"/>
        <c:scaling>
          <c:orientation val="minMax"/>
        </c:scaling>
        <c:delete val="0"/>
        <c:axPos val="b"/>
        <c:title>
          <c:tx>
            <c:rich>
              <a:bodyPr rot="0" vert="horz"/>
              <a:lstStyle/>
              <a:p>
                <a:pPr>
                  <a:defRPr/>
                </a:pPr>
                <a:r>
                  <a:rPr lang="en-US"/>
                  <a:t>ANO</a:t>
                </a:r>
              </a:p>
            </c:rich>
          </c:tx>
          <c:layout>
            <c:manualLayout>
              <c:xMode val="edge"/>
              <c:yMode val="edge"/>
              <c:x val="0.46872695328793884"/>
              <c:y val="0.85605248103585396"/>
            </c:manualLayout>
          </c:layout>
          <c:overlay val="0"/>
          <c:spPr>
            <a:noFill/>
            <a:ln w="25400">
              <a:noFill/>
            </a:ln>
          </c:spPr>
        </c:title>
        <c:numFmt formatCode="General" sourceLinked="1"/>
        <c:majorTickMark val="out"/>
        <c:minorTickMark val="none"/>
        <c:tickLblPos val="low"/>
        <c:spPr>
          <a:noFill/>
          <a:ln w="12700" cap="flat" cmpd="sng" algn="ctr">
            <a:solidFill>
              <a:schemeClr val="tx1"/>
            </a:solidFill>
            <a:prstDash val="dash"/>
            <a:round/>
          </a:ln>
          <a:effectLst/>
        </c:spPr>
        <c:txPr>
          <a:bodyPr rot="-60000000" vert="horz"/>
          <a:lstStyle/>
          <a:p>
            <a:pPr>
              <a:defRPr sz="700"/>
            </a:pPr>
            <a:endParaRPr lang="pt-BR"/>
          </a:p>
        </c:txPr>
        <c:crossAx val="274137856"/>
        <c:crossesAt val="0"/>
        <c:auto val="1"/>
        <c:lblAlgn val="ctr"/>
        <c:lblOffset val="100"/>
        <c:noMultiLvlLbl val="0"/>
      </c:catAx>
      <c:valAx>
        <c:axId val="274137856"/>
        <c:scaling>
          <c:orientation val="minMax"/>
        </c:scaling>
        <c:delete val="0"/>
        <c:axPos val="l"/>
        <c:title>
          <c:tx>
            <c:rich>
              <a:bodyPr rot="-5400000" vert="horz"/>
              <a:lstStyle/>
              <a:p>
                <a:pPr>
                  <a:defRPr/>
                </a:pPr>
                <a:r>
                  <a:rPr lang="en-US"/>
                  <a:t> %PIB</a:t>
                </a:r>
              </a:p>
            </c:rich>
          </c:tx>
          <c:overlay val="0"/>
          <c:spPr>
            <a:noFill/>
            <a:ln w="25400">
              <a:noFill/>
            </a:ln>
          </c:spPr>
        </c:title>
        <c:numFmt formatCode="_(* #,##0_);_(* \(#,##0\);_(* &quot;-&quot;_);_(@_)" sourceLinked="0"/>
        <c:majorTickMark val="none"/>
        <c:minorTickMark val="none"/>
        <c:tickLblPos val="low"/>
        <c:spPr>
          <a:noFill/>
          <a:ln w="12700">
            <a:solidFill>
              <a:schemeClr val="tx1"/>
            </a:solidFill>
          </a:ln>
          <a:effectLst/>
        </c:spPr>
        <c:txPr>
          <a:bodyPr rot="-60000000" vert="horz"/>
          <a:lstStyle/>
          <a:p>
            <a:pPr>
              <a:defRPr sz="700"/>
            </a:pPr>
            <a:endParaRPr lang="pt-BR"/>
          </a:p>
        </c:txPr>
        <c:crossAx val="274094336"/>
        <c:crossesAt val="1"/>
        <c:crossBetween val="midCat"/>
      </c:valAx>
      <c:spPr>
        <a:noFill/>
        <a:ln w="25400">
          <a:noFill/>
        </a:ln>
      </c:spPr>
    </c:plotArea>
    <c:legend>
      <c:legendPos val="b"/>
      <c:legendEntry>
        <c:idx val="0"/>
        <c:delete val="1"/>
      </c:legendEntry>
      <c:legendEntry>
        <c:idx val="2"/>
        <c:delete val="1"/>
      </c:legendEntry>
      <c:layout>
        <c:manualLayout>
          <c:xMode val="edge"/>
          <c:yMode val="edge"/>
          <c:x val="8.1184442683114116E-2"/>
          <c:y val="0.92180400072554425"/>
          <c:w val="0.49655184344863068"/>
          <c:h val="5.4009819967266726E-2"/>
        </c:manualLayout>
      </c:layout>
      <c:overlay val="0"/>
      <c:spPr>
        <a:noFill/>
        <a:ln w="25400">
          <a:noFill/>
        </a:ln>
      </c:spPr>
      <c:txPr>
        <a:bodyPr rot="0" vert="horz"/>
        <a:lstStyle/>
        <a:p>
          <a:pPr>
            <a:defRPr/>
          </a:pPr>
          <a:endParaRPr lang="pt-BR"/>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sz="800"/>
      </a:pPr>
      <a:endParaRPr lang="pt-BR"/>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2171084864391952"/>
          <c:y val="4.9787083789414217E-2"/>
          <c:w val="0.69130249343832018"/>
          <c:h val="0.71036084305251312"/>
        </c:manualLayout>
      </c:layout>
      <c:lineChart>
        <c:grouping val="standard"/>
        <c:varyColors val="0"/>
        <c:ser>
          <c:idx val="0"/>
          <c:order val="0"/>
          <c:tx>
            <c:strRef>
              <c:f>'Renda Variável Acumulado'!$A$7</c:f>
              <c:strCache>
                <c:ptCount val="1"/>
                <c:pt idx="0">
                  <c:v>IBOVESPA</c:v>
                </c:pt>
              </c:strCache>
            </c:strRef>
          </c:tx>
          <c:cat>
            <c:numRef>
              <c:f>'Renda Variável Acumulado'!$B$6:$H$6</c:f>
              <c:numCache>
                <c:formatCode>General</c:formatCode>
                <c:ptCount val="7"/>
                <c:pt idx="0">
                  <c:v>2017</c:v>
                </c:pt>
                <c:pt idx="1">
                  <c:v>2018</c:v>
                </c:pt>
                <c:pt idx="2">
                  <c:v>2019</c:v>
                </c:pt>
                <c:pt idx="3">
                  <c:v>2020</c:v>
                </c:pt>
                <c:pt idx="4">
                  <c:v>2021</c:v>
                </c:pt>
                <c:pt idx="5">
                  <c:v>2022</c:v>
                </c:pt>
                <c:pt idx="6">
                  <c:v>2023</c:v>
                </c:pt>
              </c:numCache>
            </c:numRef>
          </c:cat>
          <c:val>
            <c:numRef>
              <c:f>'Renda Variável Acumulado'!$B$7:$H$7</c:f>
              <c:numCache>
                <c:formatCode>0.00</c:formatCode>
                <c:ptCount val="7"/>
                <c:pt idx="0">
                  <c:v>26.86</c:v>
                </c:pt>
                <c:pt idx="1">
                  <c:v>15.03</c:v>
                </c:pt>
                <c:pt idx="2">
                  <c:v>31.58</c:v>
                </c:pt>
                <c:pt idx="3">
                  <c:v>2.92</c:v>
                </c:pt>
                <c:pt idx="4">
                  <c:v>-11.93</c:v>
                </c:pt>
                <c:pt idx="5">
                  <c:v>4.68</c:v>
                </c:pt>
                <c:pt idx="6">
                  <c:v>22.28</c:v>
                </c:pt>
              </c:numCache>
            </c:numRef>
          </c:val>
          <c:smooth val="0"/>
          <c:extLst>
            <c:ext xmlns:c16="http://schemas.microsoft.com/office/drawing/2014/chart" uri="{C3380CC4-5D6E-409C-BE32-E72D297353CC}">
              <c16:uniqueId val="{00000000-25F2-49CA-8BF7-797FAC9D81BD}"/>
            </c:ext>
          </c:extLst>
        </c:ser>
        <c:dLbls>
          <c:showLegendKey val="0"/>
          <c:showVal val="0"/>
          <c:showCatName val="0"/>
          <c:showSerName val="0"/>
          <c:showPercent val="0"/>
          <c:showBubbleSize val="0"/>
        </c:dLbls>
        <c:marker val="1"/>
        <c:smooth val="0"/>
        <c:axId val="241538560"/>
        <c:axId val="241540480"/>
      </c:lineChart>
      <c:catAx>
        <c:axId val="241538560"/>
        <c:scaling>
          <c:orientation val="minMax"/>
        </c:scaling>
        <c:delete val="0"/>
        <c:axPos val="b"/>
        <c:title>
          <c:tx>
            <c:rich>
              <a:bodyPr/>
              <a:lstStyle/>
              <a:p>
                <a:pPr>
                  <a:defRPr sz="900"/>
                </a:pPr>
                <a:r>
                  <a:rPr lang="en-US" sz="900"/>
                  <a:t>ANO</a:t>
                </a:r>
              </a:p>
            </c:rich>
          </c:tx>
          <c:layout>
            <c:manualLayout>
              <c:xMode val="edge"/>
              <c:yMode val="edge"/>
              <c:x val="0.47736220472440949"/>
              <c:y val="0.79496310158539596"/>
            </c:manualLayout>
          </c:layout>
          <c:overlay val="0"/>
        </c:title>
        <c:numFmt formatCode="General" sourceLinked="1"/>
        <c:majorTickMark val="out"/>
        <c:minorTickMark val="none"/>
        <c:tickLblPos val="nextTo"/>
        <c:txPr>
          <a:bodyPr/>
          <a:lstStyle/>
          <a:p>
            <a:pPr>
              <a:defRPr sz="800"/>
            </a:pPr>
            <a:endParaRPr lang="pt-BR"/>
          </a:p>
        </c:txPr>
        <c:crossAx val="241540480"/>
        <c:crosses val="autoZero"/>
        <c:auto val="1"/>
        <c:lblAlgn val="ctr"/>
        <c:lblOffset val="100"/>
        <c:noMultiLvlLbl val="0"/>
      </c:catAx>
      <c:valAx>
        <c:axId val="241540480"/>
        <c:scaling>
          <c:orientation val="minMax"/>
        </c:scaling>
        <c:delete val="0"/>
        <c:axPos val="l"/>
        <c:majorGridlines/>
        <c:title>
          <c:tx>
            <c:rich>
              <a:bodyPr rot="-5400000" vert="horz"/>
              <a:lstStyle/>
              <a:p>
                <a:pPr>
                  <a:defRPr sz="900"/>
                </a:pPr>
                <a:r>
                  <a:rPr lang="en-US" sz="900"/>
                  <a:t>Taxa Acumulado no Ano (%)</a:t>
                </a:r>
              </a:p>
            </c:rich>
          </c:tx>
          <c:layout>
            <c:manualLayout>
              <c:xMode val="edge"/>
              <c:yMode val="edge"/>
              <c:x val="4.7222222222222221E-2"/>
              <c:y val="0.18641785247696055"/>
            </c:manualLayout>
          </c:layout>
          <c:overlay val="0"/>
        </c:title>
        <c:numFmt formatCode="0.00" sourceLinked="1"/>
        <c:majorTickMark val="out"/>
        <c:minorTickMark val="none"/>
        <c:tickLblPos val="nextTo"/>
        <c:txPr>
          <a:bodyPr/>
          <a:lstStyle/>
          <a:p>
            <a:pPr>
              <a:defRPr sz="800"/>
            </a:pPr>
            <a:endParaRPr lang="pt-BR"/>
          </a:p>
        </c:txPr>
        <c:crossAx val="241538560"/>
        <c:crosses val="autoZero"/>
        <c:crossBetween val="midCat"/>
        <c:majorUnit val="10"/>
      </c:valAx>
    </c:plotArea>
    <c:legend>
      <c:legendPos val="r"/>
      <c:layout>
        <c:manualLayout>
          <c:xMode val="edge"/>
          <c:yMode val="edge"/>
          <c:x val="0.39166688538932631"/>
          <c:y val="0.88565304897425934"/>
          <c:w val="0.21388888888888885"/>
          <c:h val="7.8475689417746519E-2"/>
        </c:manualLayout>
      </c:layout>
      <c:overlay val="0"/>
      <c:txPr>
        <a:bodyPr/>
        <a:lstStyle/>
        <a:p>
          <a:pPr>
            <a:defRPr sz="900"/>
          </a:pPr>
          <a:endParaRPr lang="pt-BR"/>
        </a:p>
      </c:txPr>
    </c:legend>
    <c:plotVisOnly val="1"/>
    <c:dispBlanksAs val="gap"/>
    <c:showDLblsOverMax val="0"/>
  </c:chart>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6731799863599728"/>
          <c:y val="4.7492200267419404E-2"/>
          <c:w val="0.79908620083906834"/>
          <c:h val="0.8030166394295053"/>
        </c:manualLayout>
      </c:layout>
      <c:lineChart>
        <c:grouping val="standard"/>
        <c:varyColors val="0"/>
        <c:ser>
          <c:idx val="0"/>
          <c:order val="0"/>
          <c:tx>
            <c:strRef>
              <c:f>'Renda Variável 2024'!$A$8</c:f>
              <c:strCache>
                <c:ptCount val="1"/>
                <c:pt idx="0">
                  <c:v>IBrX-100</c:v>
                </c:pt>
              </c:strCache>
            </c:strRef>
          </c:tx>
          <c:marker>
            <c:symbol val="none"/>
          </c:marker>
          <c:cat>
            <c:strRef>
              <c:f>'Renda Variável 2024'!$B$7:$K$7</c:f>
              <c:strCache>
                <c:ptCount val="10"/>
                <c:pt idx="0">
                  <c:v>jan</c:v>
                </c:pt>
                <c:pt idx="1">
                  <c:v>fev</c:v>
                </c:pt>
                <c:pt idx="2">
                  <c:v>mar</c:v>
                </c:pt>
                <c:pt idx="3">
                  <c:v>abr</c:v>
                </c:pt>
                <c:pt idx="4">
                  <c:v>mai</c:v>
                </c:pt>
                <c:pt idx="5">
                  <c:v>jun</c:v>
                </c:pt>
                <c:pt idx="6">
                  <c:v>jul</c:v>
                </c:pt>
                <c:pt idx="7">
                  <c:v>ago</c:v>
                </c:pt>
                <c:pt idx="8">
                  <c:v>set</c:v>
                </c:pt>
                <c:pt idx="9">
                  <c:v>out</c:v>
                </c:pt>
              </c:strCache>
            </c:strRef>
          </c:cat>
          <c:val>
            <c:numRef>
              <c:f>'Renda Variável 2024'!$B$8:$K$8</c:f>
              <c:numCache>
                <c:formatCode>0.00</c:formatCode>
                <c:ptCount val="10"/>
                <c:pt idx="0">
                  <c:v>-4.51</c:v>
                </c:pt>
                <c:pt idx="1">
                  <c:v>-3.5932960000000014</c:v>
                </c:pt>
                <c:pt idx="2">
                  <c:v>-4.297064939200002</c:v>
                </c:pt>
                <c:pt idx="3">
                  <c:v>-5.5794842690147224</c:v>
                </c:pt>
                <c:pt idx="4">
                  <c:v>-8.5820566692600622</c:v>
                </c:pt>
                <c:pt idx="5">
                  <c:v>-7.2016457249658998</c:v>
                </c:pt>
                <c:pt idx="6">
                  <c:v>-4.5104934509899159</c:v>
                </c:pt>
                <c:pt idx="7">
                  <c:v>1.7918139812447498</c:v>
                </c:pt>
                <c:pt idx="8">
                  <c:v>-1.2314028939982125</c:v>
                </c:pt>
                <c:pt idx="9">
                  <c:v>-2.7425624297200413</c:v>
                </c:pt>
              </c:numCache>
            </c:numRef>
          </c:val>
          <c:smooth val="0"/>
          <c:extLst>
            <c:ext xmlns:c16="http://schemas.microsoft.com/office/drawing/2014/chart" uri="{C3380CC4-5D6E-409C-BE32-E72D297353CC}">
              <c16:uniqueId val="{00000000-835A-41D8-8F9C-2F897D24C6B4}"/>
            </c:ext>
          </c:extLst>
        </c:ser>
        <c:ser>
          <c:idx val="1"/>
          <c:order val="1"/>
          <c:tx>
            <c:strRef>
              <c:f>'Renda Variável 2024'!$A$9</c:f>
              <c:strCache>
                <c:ptCount val="1"/>
                <c:pt idx="0">
                  <c:v>IBOVESPA</c:v>
                </c:pt>
              </c:strCache>
            </c:strRef>
          </c:tx>
          <c:marker>
            <c:symbol val="none"/>
          </c:marker>
          <c:cat>
            <c:strRef>
              <c:f>'Renda Variável 2024'!$B$7:$K$7</c:f>
              <c:strCache>
                <c:ptCount val="10"/>
                <c:pt idx="0">
                  <c:v>jan</c:v>
                </c:pt>
                <c:pt idx="1">
                  <c:v>fev</c:v>
                </c:pt>
                <c:pt idx="2">
                  <c:v>mar</c:v>
                </c:pt>
                <c:pt idx="3">
                  <c:v>abr</c:v>
                </c:pt>
                <c:pt idx="4">
                  <c:v>mai</c:v>
                </c:pt>
                <c:pt idx="5">
                  <c:v>jun</c:v>
                </c:pt>
                <c:pt idx="6">
                  <c:v>jul</c:v>
                </c:pt>
                <c:pt idx="7">
                  <c:v>ago</c:v>
                </c:pt>
                <c:pt idx="8">
                  <c:v>set</c:v>
                </c:pt>
                <c:pt idx="9">
                  <c:v>out</c:v>
                </c:pt>
              </c:strCache>
            </c:strRef>
          </c:cat>
          <c:val>
            <c:numRef>
              <c:f>'Renda Variável 2024'!$B$9:$K$9</c:f>
              <c:numCache>
                <c:formatCode>0.00</c:formatCode>
                <c:ptCount val="10"/>
                <c:pt idx="0">
                  <c:v>-4.79</c:v>
                </c:pt>
                <c:pt idx="1">
                  <c:v>-3.8474210000000064</c:v>
                </c:pt>
                <c:pt idx="2">
                  <c:v>-4.5301043109000076</c:v>
                </c:pt>
                <c:pt idx="3">
                  <c:v>-6.1530925376147128</c:v>
                </c:pt>
                <c:pt idx="4">
                  <c:v>-9.0060385244712275</c:v>
                </c:pt>
                <c:pt idx="5">
                  <c:v>-7.6593278946334049</c:v>
                </c:pt>
                <c:pt idx="6">
                  <c:v>-4.8706395970513299</c:v>
                </c:pt>
                <c:pt idx="7">
                  <c:v>1.3508205733015144</c:v>
                </c:pt>
                <c:pt idx="8">
                  <c:v>-1.7707847003561761</c:v>
                </c:pt>
                <c:pt idx="9">
                  <c:v>-3.3424521451504763</c:v>
                </c:pt>
              </c:numCache>
            </c:numRef>
          </c:val>
          <c:smooth val="0"/>
          <c:extLst>
            <c:ext xmlns:c16="http://schemas.microsoft.com/office/drawing/2014/chart" uri="{C3380CC4-5D6E-409C-BE32-E72D297353CC}">
              <c16:uniqueId val="{00000001-835A-41D8-8F9C-2F897D24C6B4}"/>
            </c:ext>
          </c:extLst>
        </c:ser>
        <c:dLbls>
          <c:showLegendKey val="0"/>
          <c:showVal val="0"/>
          <c:showCatName val="0"/>
          <c:showSerName val="0"/>
          <c:showPercent val="0"/>
          <c:showBubbleSize val="0"/>
        </c:dLbls>
        <c:smooth val="0"/>
        <c:axId val="242659712"/>
        <c:axId val="242661248"/>
      </c:lineChart>
      <c:catAx>
        <c:axId val="242659712"/>
        <c:scaling>
          <c:orientation val="minMax"/>
        </c:scaling>
        <c:delete val="0"/>
        <c:axPos val="b"/>
        <c:numFmt formatCode="General" sourceLinked="0"/>
        <c:majorTickMark val="out"/>
        <c:minorTickMark val="none"/>
        <c:tickLblPos val="nextTo"/>
        <c:crossAx val="242661248"/>
        <c:crosses val="autoZero"/>
        <c:auto val="1"/>
        <c:lblAlgn val="ctr"/>
        <c:lblOffset val="100"/>
        <c:noMultiLvlLbl val="0"/>
      </c:catAx>
      <c:valAx>
        <c:axId val="242661248"/>
        <c:scaling>
          <c:orientation val="minMax"/>
        </c:scaling>
        <c:delete val="0"/>
        <c:axPos val="l"/>
        <c:majorGridlines/>
        <c:title>
          <c:tx>
            <c:rich>
              <a:bodyPr rot="-5400000" vert="horz"/>
              <a:lstStyle/>
              <a:p>
                <a:pPr>
                  <a:defRPr sz="900"/>
                </a:pPr>
                <a:r>
                  <a:rPr lang="en-US" sz="900"/>
                  <a:t>Taxa Acumulada no Ano (%)</a:t>
                </a:r>
              </a:p>
            </c:rich>
          </c:tx>
          <c:layout>
            <c:manualLayout>
              <c:xMode val="edge"/>
              <c:yMode val="edge"/>
              <c:x val="4.5153390453685417E-2"/>
              <c:y val="0.25668113241569995"/>
            </c:manualLayout>
          </c:layout>
          <c:overlay val="0"/>
        </c:title>
        <c:numFmt formatCode="0.00" sourceLinked="1"/>
        <c:majorTickMark val="out"/>
        <c:minorTickMark val="none"/>
        <c:tickLblPos val="nextTo"/>
        <c:txPr>
          <a:bodyPr/>
          <a:lstStyle/>
          <a:p>
            <a:pPr>
              <a:defRPr sz="800"/>
            </a:pPr>
            <a:endParaRPr lang="pt-BR"/>
          </a:p>
        </c:txPr>
        <c:crossAx val="242659712"/>
        <c:crosses val="autoZero"/>
        <c:crossBetween val="between"/>
      </c:valAx>
      <c:dTable>
        <c:showHorzBorder val="1"/>
        <c:showVertBorder val="1"/>
        <c:showOutline val="1"/>
        <c:showKeys val="1"/>
        <c:txPr>
          <a:bodyPr/>
          <a:lstStyle/>
          <a:p>
            <a:pPr rtl="0">
              <a:defRPr sz="800"/>
            </a:pPr>
            <a:endParaRPr lang="pt-BR"/>
          </a:p>
        </c:txPr>
      </c:dTable>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4965074413188176"/>
          <c:y val="0.109375"/>
          <c:w val="0.76194659324610259"/>
          <c:h val="0.6875"/>
        </c:manualLayout>
      </c:layout>
      <c:lineChart>
        <c:grouping val="standard"/>
        <c:varyColors val="0"/>
        <c:ser>
          <c:idx val="0"/>
          <c:order val="0"/>
          <c:marker>
            <c:symbol val="none"/>
          </c:marker>
          <c:cat>
            <c:numRef>
              <c:f>'Dólar 2024'!$A$1:$A$196</c:f>
              <c:numCache>
                <c:formatCode>m/d/yyyy</c:formatCode>
                <c:ptCount val="196"/>
                <c:pt idx="0">
                  <c:v>45293</c:v>
                </c:pt>
                <c:pt idx="1">
                  <c:v>45294</c:v>
                </c:pt>
                <c:pt idx="2">
                  <c:v>45295</c:v>
                </c:pt>
                <c:pt idx="3">
                  <c:v>45296</c:v>
                </c:pt>
                <c:pt idx="4">
                  <c:v>45299</c:v>
                </c:pt>
                <c:pt idx="5">
                  <c:v>45300</c:v>
                </c:pt>
                <c:pt idx="6">
                  <c:v>45301</c:v>
                </c:pt>
                <c:pt idx="7">
                  <c:v>45302</c:v>
                </c:pt>
                <c:pt idx="8">
                  <c:v>45303</c:v>
                </c:pt>
                <c:pt idx="9">
                  <c:v>45306</c:v>
                </c:pt>
                <c:pt idx="10">
                  <c:v>45307</c:v>
                </c:pt>
                <c:pt idx="11">
                  <c:v>45308</c:v>
                </c:pt>
                <c:pt idx="12">
                  <c:v>45309</c:v>
                </c:pt>
                <c:pt idx="13">
                  <c:v>45310</c:v>
                </c:pt>
                <c:pt idx="14">
                  <c:v>45313</c:v>
                </c:pt>
                <c:pt idx="15">
                  <c:v>45314</c:v>
                </c:pt>
                <c:pt idx="16">
                  <c:v>45315</c:v>
                </c:pt>
                <c:pt idx="17">
                  <c:v>45316</c:v>
                </c:pt>
                <c:pt idx="18">
                  <c:v>45317</c:v>
                </c:pt>
                <c:pt idx="19">
                  <c:v>45320</c:v>
                </c:pt>
                <c:pt idx="20">
                  <c:v>45321</c:v>
                </c:pt>
                <c:pt idx="21">
                  <c:v>45322</c:v>
                </c:pt>
                <c:pt idx="22">
                  <c:v>45323</c:v>
                </c:pt>
                <c:pt idx="23">
                  <c:v>45324</c:v>
                </c:pt>
                <c:pt idx="24">
                  <c:v>45327</c:v>
                </c:pt>
                <c:pt idx="25">
                  <c:v>45328</c:v>
                </c:pt>
                <c:pt idx="26">
                  <c:v>45329</c:v>
                </c:pt>
                <c:pt idx="27">
                  <c:v>45330</c:v>
                </c:pt>
                <c:pt idx="28">
                  <c:v>45331</c:v>
                </c:pt>
                <c:pt idx="29">
                  <c:v>45336</c:v>
                </c:pt>
                <c:pt idx="30">
                  <c:v>45337</c:v>
                </c:pt>
                <c:pt idx="31">
                  <c:v>45338</c:v>
                </c:pt>
                <c:pt idx="32">
                  <c:v>45341</c:v>
                </c:pt>
                <c:pt idx="33">
                  <c:v>45342</c:v>
                </c:pt>
                <c:pt idx="34">
                  <c:v>45343</c:v>
                </c:pt>
                <c:pt idx="35">
                  <c:v>45344</c:v>
                </c:pt>
                <c:pt idx="36">
                  <c:v>45345</c:v>
                </c:pt>
                <c:pt idx="37">
                  <c:v>45348</c:v>
                </c:pt>
                <c:pt idx="38">
                  <c:v>45349</c:v>
                </c:pt>
                <c:pt idx="39">
                  <c:v>45350</c:v>
                </c:pt>
                <c:pt idx="40">
                  <c:v>45351</c:v>
                </c:pt>
                <c:pt idx="41">
                  <c:v>45352</c:v>
                </c:pt>
                <c:pt idx="42">
                  <c:v>45355</c:v>
                </c:pt>
                <c:pt idx="43">
                  <c:v>45356</c:v>
                </c:pt>
                <c:pt idx="44">
                  <c:v>45357</c:v>
                </c:pt>
                <c:pt idx="45">
                  <c:v>45358</c:v>
                </c:pt>
                <c:pt idx="46">
                  <c:v>45359</c:v>
                </c:pt>
                <c:pt idx="47">
                  <c:v>45362</c:v>
                </c:pt>
                <c:pt idx="48">
                  <c:v>45363</c:v>
                </c:pt>
                <c:pt idx="49">
                  <c:v>45364</c:v>
                </c:pt>
                <c:pt idx="50">
                  <c:v>45365</c:v>
                </c:pt>
                <c:pt idx="51">
                  <c:v>45366</c:v>
                </c:pt>
                <c:pt idx="52">
                  <c:v>45369</c:v>
                </c:pt>
                <c:pt idx="53">
                  <c:v>45370</c:v>
                </c:pt>
                <c:pt idx="54">
                  <c:v>45371</c:v>
                </c:pt>
                <c:pt idx="55">
                  <c:v>45372</c:v>
                </c:pt>
                <c:pt idx="56">
                  <c:v>45373</c:v>
                </c:pt>
                <c:pt idx="57">
                  <c:v>45376</c:v>
                </c:pt>
                <c:pt idx="58">
                  <c:v>45377</c:v>
                </c:pt>
                <c:pt idx="59">
                  <c:v>45378</c:v>
                </c:pt>
                <c:pt idx="60">
                  <c:v>45379</c:v>
                </c:pt>
                <c:pt idx="61">
                  <c:v>45383</c:v>
                </c:pt>
                <c:pt idx="62">
                  <c:v>45384</c:v>
                </c:pt>
                <c:pt idx="63">
                  <c:v>45385</c:v>
                </c:pt>
                <c:pt idx="64">
                  <c:v>45386</c:v>
                </c:pt>
                <c:pt idx="65">
                  <c:v>45387</c:v>
                </c:pt>
                <c:pt idx="66">
                  <c:v>45390</c:v>
                </c:pt>
                <c:pt idx="67">
                  <c:v>45391</c:v>
                </c:pt>
                <c:pt idx="68">
                  <c:v>45392</c:v>
                </c:pt>
                <c:pt idx="69">
                  <c:v>45393</c:v>
                </c:pt>
                <c:pt idx="70">
                  <c:v>45394</c:v>
                </c:pt>
                <c:pt idx="71">
                  <c:v>45397</c:v>
                </c:pt>
                <c:pt idx="72">
                  <c:v>45398</c:v>
                </c:pt>
                <c:pt idx="73">
                  <c:v>45399</c:v>
                </c:pt>
                <c:pt idx="74">
                  <c:v>45400</c:v>
                </c:pt>
                <c:pt idx="75">
                  <c:v>45401</c:v>
                </c:pt>
                <c:pt idx="76">
                  <c:v>45404</c:v>
                </c:pt>
                <c:pt idx="77">
                  <c:v>45405</c:v>
                </c:pt>
                <c:pt idx="78">
                  <c:v>45406</c:v>
                </c:pt>
                <c:pt idx="79">
                  <c:v>45407</c:v>
                </c:pt>
                <c:pt idx="80">
                  <c:v>45408</c:v>
                </c:pt>
                <c:pt idx="81">
                  <c:v>45411</c:v>
                </c:pt>
                <c:pt idx="82">
                  <c:v>45412</c:v>
                </c:pt>
                <c:pt idx="83">
                  <c:v>45414</c:v>
                </c:pt>
                <c:pt idx="84">
                  <c:v>45415</c:v>
                </c:pt>
                <c:pt idx="85">
                  <c:v>45418</c:v>
                </c:pt>
                <c:pt idx="86">
                  <c:v>45419</c:v>
                </c:pt>
                <c:pt idx="87">
                  <c:v>45420</c:v>
                </c:pt>
                <c:pt idx="88">
                  <c:v>45421</c:v>
                </c:pt>
                <c:pt idx="89">
                  <c:v>45422</c:v>
                </c:pt>
                <c:pt idx="90">
                  <c:v>45425</c:v>
                </c:pt>
                <c:pt idx="91">
                  <c:v>45426</c:v>
                </c:pt>
                <c:pt idx="92">
                  <c:v>45427</c:v>
                </c:pt>
                <c:pt idx="93">
                  <c:v>45428</c:v>
                </c:pt>
                <c:pt idx="94">
                  <c:v>45429</c:v>
                </c:pt>
                <c:pt idx="95">
                  <c:v>45432</c:v>
                </c:pt>
                <c:pt idx="96">
                  <c:v>45433</c:v>
                </c:pt>
                <c:pt idx="97">
                  <c:v>45434</c:v>
                </c:pt>
                <c:pt idx="98">
                  <c:v>45435</c:v>
                </c:pt>
                <c:pt idx="99">
                  <c:v>45436</c:v>
                </c:pt>
                <c:pt idx="100">
                  <c:v>45439</c:v>
                </c:pt>
                <c:pt idx="101">
                  <c:v>45440</c:v>
                </c:pt>
                <c:pt idx="102">
                  <c:v>45441</c:v>
                </c:pt>
                <c:pt idx="103">
                  <c:v>45443</c:v>
                </c:pt>
                <c:pt idx="104">
                  <c:v>45446</c:v>
                </c:pt>
                <c:pt idx="105">
                  <c:v>45447</c:v>
                </c:pt>
                <c:pt idx="106">
                  <c:v>45448</c:v>
                </c:pt>
                <c:pt idx="107">
                  <c:v>45449</c:v>
                </c:pt>
                <c:pt idx="108">
                  <c:v>45450</c:v>
                </c:pt>
                <c:pt idx="109">
                  <c:v>45453</c:v>
                </c:pt>
                <c:pt idx="110">
                  <c:v>45454</c:v>
                </c:pt>
                <c:pt idx="111">
                  <c:v>45455</c:v>
                </c:pt>
                <c:pt idx="112">
                  <c:v>45456</c:v>
                </c:pt>
                <c:pt idx="113">
                  <c:v>45457</c:v>
                </c:pt>
                <c:pt idx="114">
                  <c:v>45460</c:v>
                </c:pt>
                <c:pt idx="115">
                  <c:v>45461</c:v>
                </c:pt>
                <c:pt idx="116">
                  <c:v>45462</c:v>
                </c:pt>
                <c:pt idx="117">
                  <c:v>45463</c:v>
                </c:pt>
                <c:pt idx="118">
                  <c:v>45464</c:v>
                </c:pt>
                <c:pt idx="119">
                  <c:v>45467</c:v>
                </c:pt>
                <c:pt idx="120">
                  <c:v>45468</c:v>
                </c:pt>
                <c:pt idx="121">
                  <c:v>45469</c:v>
                </c:pt>
                <c:pt idx="122">
                  <c:v>45470</c:v>
                </c:pt>
                <c:pt idx="123">
                  <c:v>45471</c:v>
                </c:pt>
                <c:pt idx="124">
                  <c:v>45474</c:v>
                </c:pt>
                <c:pt idx="125">
                  <c:v>45475</c:v>
                </c:pt>
                <c:pt idx="126">
                  <c:v>45476</c:v>
                </c:pt>
                <c:pt idx="127">
                  <c:v>45477</c:v>
                </c:pt>
                <c:pt idx="128">
                  <c:v>45478</c:v>
                </c:pt>
                <c:pt idx="129">
                  <c:v>45481</c:v>
                </c:pt>
                <c:pt idx="130">
                  <c:v>45482</c:v>
                </c:pt>
                <c:pt idx="131">
                  <c:v>45483</c:v>
                </c:pt>
                <c:pt idx="132">
                  <c:v>45484</c:v>
                </c:pt>
                <c:pt idx="133">
                  <c:v>45485</c:v>
                </c:pt>
                <c:pt idx="134">
                  <c:v>45488</c:v>
                </c:pt>
                <c:pt idx="135">
                  <c:v>45489</c:v>
                </c:pt>
                <c:pt idx="136">
                  <c:v>45490</c:v>
                </c:pt>
                <c:pt idx="137">
                  <c:v>45491</c:v>
                </c:pt>
                <c:pt idx="138">
                  <c:v>45492</c:v>
                </c:pt>
                <c:pt idx="139">
                  <c:v>45495</c:v>
                </c:pt>
                <c:pt idx="140">
                  <c:v>45496</c:v>
                </c:pt>
                <c:pt idx="141">
                  <c:v>45497</c:v>
                </c:pt>
                <c:pt idx="142">
                  <c:v>45498</c:v>
                </c:pt>
                <c:pt idx="143">
                  <c:v>45499</c:v>
                </c:pt>
                <c:pt idx="144">
                  <c:v>45502</c:v>
                </c:pt>
                <c:pt idx="145">
                  <c:v>45503</c:v>
                </c:pt>
                <c:pt idx="146">
                  <c:v>45504</c:v>
                </c:pt>
                <c:pt idx="147">
                  <c:v>45505</c:v>
                </c:pt>
                <c:pt idx="148">
                  <c:v>45506</c:v>
                </c:pt>
                <c:pt idx="149">
                  <c:v>45509</c:v>
                </c:pt>
                <c:pt idx="150">
                  <c:v>45510</c:v>
                </c:pt>
                <c:pt idx="151">
                  <c:v>45511</c:v>
                </c:pt>
                <c:pt idx="152">
                  <c:v>45512</c:v>
                </c:pt>
                <c:pt idx="153">
                  <c:v>45513</c:v>
                </c:pt>
                <c:pt idx="154">
                  <c:v>45516</c:v>
                </c:pt>
                <c:pt idx="155">
                  <c:v>45517</c:v>
                </c:pt>
                <c:pt idx="156">
                  <c:v>45518</c:v>
                </c:pt>
                <c:pt idx="157">
                  <c:v>45519</c:v>
                </c:pt>
                <c:pt idx="158">
                  <c:v>45520</c:v>
                </c:pt>
                <c:pt idx="159">
                  <c:v>45523</c:v>
                </c:pt>
                <c:pt idx="160">
                  <c:v>45524</c:v>
                </c:pt>
                <c:pt idx="161">
                  <c:v>45525</c:v>
                </c:pt>
                <c:pt idx="162">
                  <c:v>45526</c:v>
                </c:pt>
                <c:pt idx="163">
                  <c:v>45527</c:v>
                </c:pt>
                <c:pt idx="164">
                  <c:v>45530</c:v>
                </c:pt>
                <c:pt idx="165">
                  <c:v>45531</c:v>
                </c:pt>
                <c:pt idx="166">
                  <c:v>45532</c:v>
                </c:pt>
                <c:pt idx="167">
                  <c:v>45533</c:v>
                </c:pt>
                <c:pt idx="168">
                  <c:v>45534</c:v>
                </c:pt>
                <c:pt idx="169">
                  <c:v>45537</c:v>
                </c:pt>
                <c:pt idx="170">
                  <c:v>45538</c:v>
                </c:pt>
                <c:pt idx="171">
                  <c:v>45539</c:v>
                </c:pt>
                <c:pt idx="172">
                  <c:v>45540</c:v>
                </c:pt>
                <c:pt idx="173">
                  <c:v>45541</c:v>
                </c:pt>
                <c:pt idx="174">
                  <c:v>45544</c:v>
                </c:pt>
                <c:pt idx="175">
                  <c:v>45545</c:v>
                </c:pt>
                <c:pt idx="176">
                  <c:v>45546</c:v>
                </c:pt>
                <c:pt idx="177">
                  <c:v>45547</c:v>
                </c:pt>
                <c:pt idx="178">
                  <c:v>45548</c:v>
                </c:pt>
                <c:pt idx="179">
                  <c:v>45551</c:v>
                </c:pt>
                <c:pt idx="180">
                  <c:v>45552</c:v>
                </c:pt>
                <c:pt idx="181">
                  <c:v>45553</c:v>
                </c:pt>
                <c:pt idx="182">
                  <c:v>45554</c:v>
                </c:pt>
                <c:pt idx="183">
                  <c:v>45555</c:v>
                </c:pt>
                <c:pt idx="184">
                  <c:v>45558</c:v>
                </c:pt>
                <c:pt idx="185">
                  <c:v>45559</c:v>
                </c:pt>
                <c:pt idx="186">
                  <c:v>45560</c:v>
                </c:pt>
                <c:pt idx="187">
                  <c:v>45561</c:v>
                </c:pt>
                <c:pt idx="188">
                  <c:v>45562</c:v>
                </c:pt>
                <c:pt idx="189">
                  <c:v>45565</c:v>
                </c:pt>
                <c:pt idx="190">
                  <c:v>45566</c:v>
                </c:pt>
                <c:pt idx="191">
                  <c:v>45567</c:v>
                </c:pt>
                <c:pt idx="192">
                  <c:v>45568</c:v>
                </c:pt>
                <c:pt idx="193">
                  <c:v>45569</c:v>
                </c:pt>
                <c:pt idx="194">
                  <c:v>45572</c:v>
                </c:pt>
                <c:pt idx="195">
                  <c:v>45573</c:v>
                </c:pt>
              </c:numCache>
            </c:numRef>
          </c:cat>
          <c:val>
            <c:numRef>
              <c:f>'Dólar 2024'!$C$1:$C$196</c:f>
              <c:numCache>
                <c:formatCode>General</c:formatCode>
                <c:ptCount val="196"/>
                <c:pt idx="0">
                  <c:v>4.8916000000000004</c:v>
                </c:pt>
                <c:pt idx="1">
                  <c:v>4.9211999999999998</c:v>
                </c:pt>
                <c:pt idx="2">
                  <c:v>4.9188000000000001</c:v>
                </c:pt>
                <c:pt idx="3">
                  <c:v>4.8898999999999999</c:v>
                </c:pt>
                <c:pt idx="4">
                  <c:v>4.8849999999999998</c:v>
                </c:pt>
                <c:pt idx="5">
                  <c:v>4.8936999999999999</c:v>
                </c:pt>
                <c:pt idx="6">
                  <c:v>4.8901000000000003</c:v>
                </c:pt>
                <c:pt idx="7">
                  <c:v>4.8794000000000004</c:v>
                </c:pt>
                <c:pt idx="8">
                  <c:v>4.8543000000000003</c:v>
                </c:pt>
                <c:pt idx="9">
                  <c:v>4.8765000000000001</c:v>
                </c:pt>
                <c:pt idx="10">
                  <c:v>4.9038000000000004</c:v>
                </c:pt>
                <c:pt idx="11">
                  <c:v>4.9345999999999997</c:v>
                </c:pt>
                <c:pt idx="12">
                  <c:v>4.9402999999999997</c:v>
                </c:pt>
                <c:pt idx="13">
                  <c:v>4.9222999999999999</c:v>
                </c:pt>
                <c:pt idx="14">
                  <c:v>4.9489999999999998</c:v>
                </c:pt>
                <c:pt idx="15">
                  <c:v>4.9714999999999998</c:v>
                </c:pt>
                <c:pt idx="16">
                  <c:v>4.9192</c:v>
                </c:pt>
                <c:pt idx="17">
                  <c:v>4.9231999999999996</c:v>
                </c:pt>
                <c:pt idx="18">
                  <c:v>4.9124999999999996</c:v>
                </c:pt>
                <c:pt idx="19">
                  <c:v>4.9225000000000003</c:v>
                </c:pt>
                <c:pt idx="20">
                  <c:v>4.9638</c:v>
                </c:pt>
                <c:pt idx="21">
                  <c:v>4.9535</c:v>
                </c:pt>
                <c:pt idx="22">
                  <c:v>4.9349999999999996</c:v>
                </c:pt>
                <c:pt idx="23">
                  <c:v>4.9470999999999998</c:v>
                </c:pt>
                <c:pt idx="24">
                  <c:v>5.0053000000000001</c:v>
                </c:pt>
                <c:pt idx="25">
                  <c:v>4.9687000000000001</c:v>
                </c:pt>
                <c:pt idx="26">
                  <c:v>4.9607999999999999</c:v>
                </c:pt>
                <c:pt idx="27">
                  <c:v>4.9804000000000004</c:v>
                </c:pt>
                <c:pt idx="28">
                  <c:v>4.9717000000000002</c:v>
                </c:pt>
                <c:pt idx="29">
                  <c:v>4.9722999999999997</c:v>
                </c:pt>
                <c:pt idx="30">
                  <c:v>4.9710000000000001</c:v>
                </c:pt>
                <c:pt idx="31">
                  <c:v>4.9760999999999997</c:v>
                </c:pt>
                <c:pt idx="32">
                  <c:v>4.9584999999999999</c:v>
                </c:pt>
                <c:pt idx="33">
                  <c:v>4.9408000000000003</c:v>
                </c:pt>
                <c:pt idx="34">
                  <c:v>4.9302999999999999</c:v>
                </c:pt>
                <c:pt idx="35">
                  <c:v>4.9419000000000004</c:v>
                </c:pt>
                <c:pt idx="36">
                  <c:v>4.9851000000000001</c:v>
                </c:pt>
                <c:pt idx="37">
                  <c:v>4.9819000000000004</c:v>
                </c:pt>
                <c:pt idx="38">
                  <c:v>4.9574999999999996</c:v>
                </c:pt>
                <c:pt idx="39">
                  <c:v>4.9557000000000002</c:v>
                </c:pt>
                <c:pt idx="40">
                  <c:v>4.9832999999999998</c:v>
                </c:pt>
                <c:pt idx="41">
                  <c:v>4.9596</c:v>
                </c:pt>
                <c:pt idx="42">
                  <c:v>4.9474999999999998</c:v>
                </c:pt>
                <c:pt idx="43">
                  <c:v>4.9488000000000003</c:v>
                </c:pt>
                <c:pt idx="44">
                  <c:v>4.9398</c:v>
                </c:pt>
                <c:pt idx="45">
                  <c:v>4.9363999999999999</c:v>
                </c:pt>
                <c:pt idx="46">
                  <c:v>4.9751000000000003</c:v>
                </c:pt>
                <c:pt idx="47">
                  <c:v>4.9776999999999996</c:v>
                </c:pt>
                <c:pt idx="48">
                  <c:v>4.9813000000000001</c:v>
                </c:pt>
                <c:pt idx="49">
                  <c:v>4.9802999999999997</c:v>
                </c:pt>
                <c:pt idx="50">
                  <c:v>4.9767999999999999</c:v>
                </c:pt>
                <c:pt idx="51">
                  <c:v>4.9936999999999996</c:v>
                </c:pt>
                <c:pt idx="52">
                  <c:v>5.0124000000000004</c:v>
                </c:pt>
                <c:pt idx="53">
                  <c:v>5.0351999999999997</c:v>
                </c:pt>
                <c:pt idx="54">
                  <c:v>5.0119999999999996</c:v>
                </c:pt>
                <c:pt idx="55">
                  <c:v>4.9806999999999997</c:v>
                </c:pt>
                <c:pt idx="56">
                  <c:v>4.9897</c:v>
                </c:pt>
                <c:pt idx="57">
                  <c:v>4.9869000000000003</c:v>
                </c:pt>
                <c:pt idx="58">
                  <c:v>4.9870000000000001</c:v>
                </c:pt>
                <c:pt idx="59">
                  <c:v>4.9855999999999998</c:v>
                </c:pt>
                <c:pt idx="60">
                  <c:v>4.9962</c:v>
                </c:pt>
                <c:pt idx="61">
                  <c:v>5.0532000000000004</c:v>
                </c:pt>
                <c:pt idx="62">
                  <c:v>5.0476000000000001</c:v>
                </c:pt>
                <c:pt idx="63">
                  <c:v>5.0724</c:v>
                </c:pt>
                <c:pt idx="64">
                  <c:v>5.0236999999999998</c:v>
                </c:pt>
                <c:pt idx="65">
                  <c:v>5.0519999999999996</c:v>
                </c:pt>
                <c:pt idx="66">
                  <c:v>5.0420999999999996</c:v>
                </c:pt>
                <c:pt idx="67">
                  <c:v>5.008</c:v>
                </c:pt>
                <c:pt idx="68">
                  <c:v>5.0654000000000003</c:v>
                </c:pt>
                <c:pt idx="69">
                  <c:v>5.0765000000000002</c:v>
                </c:pt>
                <c:pt idx="70">
                  <c:v>5.1364000000000001</c:v>
                </c:pt>
                <c:pt idx="71">
                  <c:v>5.1745999999999999</c:v>
                </c:pt>
                <c:pt idx="72">
                  <c:v>5.2634999999999996</c:v>
                </c:pt>
                <c:pt idx="73">
                  <c:v>5.2469000000000001</c:v>
                </c:pt>
                <c:pt idx="74">
                  <c:v>5.2511999999999999</c:v>
                </c:pt>
                <c:pt idx="75">
                  <c:v>5.2268999999999997</c:v>
                </c:pt>
                <c:pt idx="76">
                  <c:v>5.2042999999999999</c:v>
                </c:pt>
                <c:pt idx="77">
                  <c:v>5.1626000000000003</c:v>
                </c:pt>
                <c:pt idx="78">
                  <c:v>5.1592000000000002</c:v>
                </c:pt>
                <c:pt idx="79">
                  <c:v>5.1679000000000004</c:v>
                </c:pt>
                <c:pt idx="80">
                  <c:v>5.1184000000000003</c:v>
                </c:pt>
                <c:pt idx="81">
                  <c:v>5.1154999999999999</c:v>
                </c:pt>
                <c:pt idx="82">
                  <c:v>5.1718000000000002</c:v>
                </c:pt>
                <c:pt idx="83">
                  <c:v>5.1184000000000003</c:v>
                </c:pt>
                <c:pt idx="84">
                  <c:v>5.0667999999999997</c:v>
                </c:pt>
                <c:pt idx="85">
                  <c:v>5.0727000000000002</c:v>
                </c:pt>
                <c:pt idx="86">
                  <c:v>5.0609999999999999</c:v>
                </c:pt>
                <c:pt idx="87">
                  <c:v>5.0887000000000002</c:v>
                </c:pt>
                <c:pt idx="88">
                  <c:v>5.1577000000000002</c:v>
                </c:pt>
                <c:pt idx="89">
                  <c:v>5.1463999999999999</c:v>
                </c:pt>
                <c:pt idx="90">
                  <c:v>5.1412000000000004</c:v>
                </c:pt>
                <c:pt idx="91">
                  <c:v>5.1356000000000002</c:v>
                </c:pt>
                <c:pt idx="92">
                  <c:v>5.1422999999999996</c:v>
                </c:pt>
                <c:pt idx="93">
                  <c:v>5.1269999999999998</c:v>
                </c:pt>
                <c:pt idx="94">
                  <c:v>5.1157000000000004</c:v>
                </c:pt>
                <c:pt idx="95">
                  <c:v>5.1085000000000003</c:v>
                </c:pt>
                <c:pt idx="96">
                  <c:v>5.1036999999999999</c:v>
                </c:pt>
                <c:pt idx="97">
                  <c:v>5.1501999999999999</c:v>
                </c:pt>
                <c:pt idx="98">
                  <c:v>5.1443000000000003</c:v>
                </c:pt>
                <c:pt idx="99">
                  <c:v>5.1508000000000003</c:v>
                </c:pt>
                <c:pt idx="100">
                  <c:v>5.1703999999999999</c:v>
                </c:pt>
                <c:pt idx="101">
                  <c:v>5.1538000000000004</c:v>
                </c:pt>
                <c:pt idx="102">
                  <c:v>5.1971999999999996</c:v>
                </c:pt>
                <c:pt idx="103">
                  <c:v>5.2416</c:v>
                </c:pt>
                <c:pt idx="104">
                  <c:v>5.2373000000000003</c:v>
                </c:pt>
                <c:pt idx="105">
                  <c:v>5.2686999999999999</c:v>
                </c:pt>
                <c:pt idx="106">
                  <c:v>5.2840999999999996</c:v>
                </c:pt>
                <c:pt idx="107">
                  <c:v>5.2680999999999996</c:v>
                </c:pt>
                <c:pt idx="108">
                  <c:v>5.2801999999999998</c:v>
                </c:pt>
                <c:pt idx="109">
                  <c:v>5.3666</c:v>
                </c:pt>
                <c:pt idx="110">
                  <c:v>5.3524000000000003</c:v>
                </c:pt>
                <c:pt idx="111">
                  <c:v>5.3891</c:v>
                </c:pt>
                <c:pt idx="112">
                  <c:v>5.3974000000000002</c:v>
                </c:pt>
                <c:pt idx="113">
                  <c:v>5.3630000000000004</c:v>
                </c:pt>
                <c:pt idx="114">
                  <c:v>5.4130000000000003</c:v>
                </c:pt>
                <c:pt idx="115">
                  <c:v>5.4074</c:v>
                </c:pt>
                <c:pt idx="116">
                  <c:v>5.4646999999999997</c:v>
                </c:pt>
                <c:pt idx="117">
                  <c:v>5.4253999999999998</c:v>
                </c:pt>
                <c:pt idx="118">
                  <c:v>5.4416000000000002</c:v>
                </c:pt>
                <c:pt idx="119">
                  <c:v>5.4</c:v>
                </c:pt>
                <c:pt idx="120">
                  <c:v>5.4290000000000003</c:v>
                </c:pt>
                <c:pt idx="121">
                  <c:v>5.5096999999999996</c:v>
                </c:pt>
                <c:pt idx="122">
                  <c:v>5.5228999999999999</c:v>
                </c:pt>
                <c:pt idx="123">
                  <c:v>5.5589000000000004</c:v>
                </c:pt>
                <c:pt idx="124">
                  <c:v>5.5892999999999997</c:v>
                </c:pt>
                <c:pt idx="125">
                  <c:v>5.6677</c:v>
                </c:pt>
                <c:pt idx="126">
                  <c:v>5.5862999999999996</c:v>
                </c:pt>
                <c:pt idx="127">
                  <c:v>5.4839000000000002</c:v>
                </c:pt>
                <c:pt idx="128">
                  <c:v>5.4969999999999999</c:v>
                </c:pt>
                <c:pt idx="129">
                  <c:v>5.4720000000000004</c:v>
                </c:pt>
                <c:pt idx="130">
                  <c:v>5.4386999999999999</c:v>
                </c:pt>
                <c:pt idx="131">
                  <c:v>5.3967000000000001</c:v>
                </c:pt>
                <c:pt idx="132">
                  <c:v>5.41</c:v>
                </c:pt>
                <c:pt idx="133">
                  <c:v>5.4528999999999996</c:v>
                </c:pt>
                <c:pt idx="134">
                  <c:v>5.4562999999999997</c:v>
                </c:pt>
                <c:pt idx="135">
                  <c:v>5.4273999999999996</c:v>
                </c:pt>
                <c:pt idx="136">
                  <c:v>5.4669999999999996</c:v>
                </c:pt>
                <c:pt idx="137">
                  <c:v>5.5426000000000002</c:v>
                </c:pt>
                <c:pt idx="138">
                  <c:v>5.5542999999999996</c:v>
                </c:pt>
                <c:pt idx="139">
                  <c:v>5.5598000000000001</c:v>
                </c:pt>
                <c:pt idx="140">
                  <c:v>5.5807000000000002</c:v>
                </c:pt>
                <c:pt idx="141">
                  <c:v>5.6345999999999998</c:v>
                </c:pt>
                <c:pt idx="142">
                  <c:v>5.6402000000000001</c:v>
                </c:pt>
                <c:pt idx="143">
                  <c:v>5.6464999999999996</c:v>
                </c:pt>
                <c:pt idx="144">
                  <c:v>5.6478999999999999</c:v>
                </c:pt>
                <c:pt idx="145">
                  <c:v>5.6532</c:v>
                </c:pt>
                <c:pt idx="146">
                  <c:v>5.6620999999999997</c:v>
                </c:pt>
                <c:pt idx="147">
                  <c:v>5.6680999999999999</c:v>
                </c:pt>
                <c:pt idx="148">
                  <c:v>5.7366000000000001</c:v>
                </c:pt>
                <c:pt idx="149">
                  <c:v>5.7645999999999997</c:v>
                </c:pt>
                <c:pt idx="150">
                  <c:v>5.6528</c:v>
                </c:pt>
                <c:pt idx="151">
                  <c:v>5.6093000000000002</c:v>
                </c:pt>
                <c:pt idx="152">
                  <c:v>5.6172000000000004</c:v>
                </c:pt>
                <c:pt idx="153">
                  <c:v>5.5114999999999998</c:v>
                </c:pt>
                <c:pt idx="154">
                  <c:v>5.4911000000000003</c:v>
                </c:pt>
                <c:pt idx="155">
                  <c:v>5.4874999999999998</c:v>
                </c:pt>
                <c:pt idx="156">
                  <c:v>5.4501999999999997</c:v>
                </c:pt>
                <c:pt idx="157">
                  <c:v>5.4650999999999996</c:v>
                </c:pt>
                <c:pt idx="158">
                  <c:v>5.4631999999999996</c:v>
                </c:pt>
                <c:pt idx="159">
                  <c:v>5.4237000000000002</c:v>
                </c:pt>
                <c:pt idx="160">
                  <c:v>5.4546999999999999</c:v>
                </c:pt>
                <c:pt idx="161">
                  <c:v>5.4706999999999999</c:v>
                </c:pt>
                <c:pt idx="162">
                  <c:v>5.5523999999999996</c:v>
                </c:pt>
                <c:pt idx="163">
                  <c:v>5.5263</c:v>
                </c:pt>
                <c:pt idx="164">
                  <c:v>5.4920999999999998</c:v>
                </c:pt>
                <c:pt idx="165">
                  <c:v>5.4969000000000001</c:v>
                </c:pt>
                <c:pt idx="166">
                  <c:v>5.5315000000000003</c:v>
                </c:pt>
                <c:pt idx="167">
                  <c:v>5.6357999999999997</c:v>
                </c:pt>
                <c:pt idx="168">
                  <c:v>5.6562000000000001</c:v>
                </c:pt>
                <c:pt idx="169">
                  <c:v>5.6230000000000002</c:v>
                </c:pt>
                <c:pt idx="170">
                  <c:v>5.6223999999999998</c:v>
                </c:pt>
                <c:pt idx="171">
                  <c:v>5.6359000000000004</c:v>
                </c:pt>
                <c:pt idx="172">
                  <c:v>5.6048999999999998</c:v>
                </c:pt>
                <c:pt idx="173">
                  <c:v>5.5701999999999998</c:v>
                </c:pt>
                <c:pt idx="174">
                  <c:v>5.6097000000000001</c:v>
                </c:pt>
                <c:pt idx="175">
                  <c:v>5.6254</c:v>
                </c:pt>
                <c:pt idx="176">
                  <c:v>5.6387</c:v>
                </c:pt>
                <c:pt idx="177">
                  <c:v>5.6554000000000002</c:v>
                </c:pt>
                <c:pt idx="178">
                  <c:v>5.5716999999999999</c:v>
                </c:pt>
                <c:pt idx="179">
                  <c:v>5.5206999999999997</c:v>
                </c:pt>
                <c:pt idx="180">
                  <c:v>5.5010000000000003</c:v>
                </c:pt>
                <c:pt idx="181">
                  <c:v>5.4767000000000001</c:v>
                </c:pt>
                <c:pt idx="182">
                  <c:v>5.4188999999999998</c:v>
                </c:pt>
                <c:pt idx="183">
                  <c:v>5.4775</c:v>
                </c:pt>
                <c:pt idx="184">
                  <c:v>5.5446</c:v>
                </c:pt>
                <c:pt idx="185">
                  <c:v>5.4702000000000002</c:v>
                </c:pt>
                <c:pt idx="186">
                  <c:v>5.4736000000000002</c:v>
                </c:pt>
                <c:pt idx="187">
                  <c:v>5.4412000000000003</c:v>
                </c:pt>
                <c:pt idx="188">
                  <c:v>5.4431000000000003</c:v>
                </c:pt>
                <c:pt idx="189">
                  <c:v>5.4481000000000002</c:v>
                </c:pt>
                <c:pt idx="190">
                  <c:v>5.4520999999999997</c:v>
                </c:pt>
                <c:pt idx="191">
                  <c:v>5.4305000000000003</c:v>
                </c:pt>
                <c:pt idx="192">
                  <c:v>5.4850000000000003</c:v>
                </c:pt>
                <c:pt idx="193">
                  <c:v>5.4686000000000003</c:v>
                </c:pt>
                <c:pt idx="194">
                  <c:v>5.4626000000000001</c:v>
                </c:pt>
                <c:pt idx="195">
                  <c:v>5.5197000000000003</c:v>
                </c:pt>
              </c:numCache>
            </c:numRef>
          </c:val>
          <c:smooth val="0"/>
          <c:extLst>
            <c:ext xmlns:c16="http://schemas.microsoft.com/office/drawing/2014/chart" uri="{C3380CC4-5D6E-409C-BE32-E72D297353CC}">
              <c16:uniqueId val="{00000000-0E04-48E9-95D7-46FFA6631144}"/>
            </c:ext>
          </c:extLst>
        </c:ser>
        <c:dLbls>
          <c:showLegendKey val="0"/>
          <c:showVal val="0"/>
          <c:showCatName val="0"/>
          <c:showSerName val="0"/>
          <c:showPercent val="0"/>
          <c:showBubbleSize val="0"/>
        </c:dLbls>
        <c:smooth val="0"/>
        <c:axId val="279079552"/>
        <c:axId val="279250432"/>
      </c:lineChart>
      <c:dateAx>
        <c:axId val="279079552"/>
        <c:scaling>
          <c:orientation val="minMax"/>
        </c:scaling>
        <c:delete val="0"/>
        <c:axPos val="b"/>
        <c:minorGridlines/>
        <c:title>
          <c:tx>
            <c:rich>
              <a:bodyPr/>
              <a:lstStyle/>
              <a:p>
                <a:pPr>
                  <a:defRPr/>
                </a:pPr>
                <a:r>
                  <a:rPr lang="en-US"/>
                  <a:t>Mês</a:t>
                </a:r>
              </a:p>
            </c:rich>
          </c:tx>
          <c:layout>
            <c:manualLayout>
              <c:xMode val="edge"/>
              <c:yMode val="edge"/>
              <c:x val="0.47240815718224494"/>
              <c:y val="0.91232113765951672"/>
            </c:manualLayout>
          </c:layout>
          <c:overlay val="0"/>
        </c:title>
        <c:numFmt formatCode="[$-416]mmm\-yy;@" sourceLinked="0"/>
        <c:majorTickMark val="in"/>
        <c:minorTickMark val="in"/>
        <c:tickLblPos val="low"/>
        <c:txPr>
          <a:bodyPr rot="60000" anchor="t" anchorCtr="1"/>
          <a:lstStyle/>
          <a:p>
            <a:pPr>
              <a:defRPr sz="900"/>
            </a:pPr>
            <a:endParaRPr lang="pt-BR"/>
          </a:p>
        </c:txPr>
        <c:crossAx val="279250432"/>
        <c:crossesAt val="4"/>
        <c:auto val="0"/>
        <c:lblOffset val="100"/>
        <c:baseTimeUnit val="days"/>
        <c:majorUnit val="1"/>
        <c:majorTimeUnit val="months"/>
      </c:dateAx>
      <c:valAx>
        <c:axId val="279250432"/>
        <c:scaling>
          <c:orientation val="minMax"/>
          <c:max val="6"/>
          <c:min val="4"/>
        </c:scaling>
        <c:delete val="0"/>
        <c:axPos val="l"/>
        <c:title>
          <c:tx>
            <c:rich>
              <a:bodyPr rot="-5400000" vert="horz"/>
              <a:lstStyle/>
              <a:p>
                <a:pPr>
                  <a:defRPr/>
                </a:pPr>
                <a:r>
                  <a:rPr lang="en-US"/>
                  <a:t>Cotação R$</a:t>
                </a:r>
              </a:p>
            </c:rich>
          </c:tx>
          <c:layout>
            <c:manualLayout>
              <c:xMode val="edge"/>
              <c:yMode val="edge"/>
              <c:x val="2.340943813502281E-2"/>
              <c:y val="0.30509609803642418"/>
            </c:manualLayout>
          </c:layout>
          <c:overlay val="0"/>
        </c:title>
        <c:numFmt formatCode="General" sourceLinked="1"/>
        <c:majorTickMark val="out"/>
        <c:minorTickMark val="none"/>
        <c:tickLblPos val="nextTo"/>
        <c:txPr>
          <a:bodyPr/>
          <a:lstStyle/>
          <a:p>
            <a:pPr>
              <a:defRPr sz="900"/>
            </a:pPr>
            <a:endParaRPr lang="pt-BR"/>
          </a:p>
        </c:txPr>
        <c:crossAx val="279079552"/>
        <c:crossesAt val="42006"/>
        <c:crossBetween val="between"/>
        <c:majorUnit val="0.25"/>
      </c:valAx>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0854175792476417"/>
          <c:y val="4.9837217125556624E-2"/>
          <c:w val="0.87383325837270986"/>
          <c:h val="0.5673419352631609"/>
        </c:manualLayout>
      </c:layout>
      <c:lineChart>
        <c:grouping val="standard"/>
        <c:varyColors val="0"/>
        <c:ser>
          <c:idx val="0"/>
          <c:order val="0"/>
          <c:marker>
            <c:symbol val="none"/>
          </c:marker>
          <c:cat>
            <c:numRef>
              <c:f>'Selic '!$B$4:$B$114</c:f>
              <c:numCache>
                <c:formatCode>m/d/yyyy</c:formatCode>
                <c:ptCount val="111"/>
                <c:pt idx="0">
                  <c:v>45553</c:v>
                </c:pt>
                <c:pt idx="1">
                  <c:v>45504</c:v>
                </c:pt>
                <c:pt idx="2">
                  <c:v>45462</c:v>
                </c:pt>
                <c:pt idx="3">
                  <c:v>45420</c:v>
                </c:pt>
                <c:pt idx="4">
                  <c:v>45371</c:v>
                </c:pt>
                <c:pt idx="5">
                  <c:v>45322</c:v>
                </c:pt>
                <c:pt idx="6">
                  <c:v>45273</c:v>
                </c:pt>
                <c:pt idx="7">
                  <c:v>45231</c:v>
                </c:pt>
                <c:pt idx="8">
                  <c:v>45189</c:v>
                </c:pt>
                <c:pt idx="9">
                  <c:v>45140</c:v>
                </c:pt>
                <c:pt idx="10">
                  <c:v>45098</c:v>
                </c:pt>
                <c:pt idx="11">
                  <c:v>45049</c:v>
                </c:pt>
                <c:pt idx="12">
                  <c:v>45007</c:v>
                </c:pt>
                <c:pt idx="13">
                  <c:v>44958</c:v>
                </c:pt>
                <c:pt idx="14">
                  <c:v>44902</c:v>
                </c:pt>
                <c:pt idx="15">
                  <c:v>44860</c:v>
                </c:pt>
                <c:pt idx="16">
                  <c:v>44825</c:v>
                </c:pt>
                <c:pt idx="17">
                  <c:v>44776</c:v>
                </c:pt>
                <c:pt idx="18">
                  <c:v>44727</c:v>
                </c:pt>
                <c:pt idx="19">
                  <c:v>44685</c:v>
                </c:pt>
                <c:pt idx="20">
                  <c:v>44636</c:v>
                </c:pt>
                <c:pt idx="21">
                  <c:v>44594</c:v>
                </c:pt>
                <c:pt idx="22">
                  <c:v>44538</c:v>
                </c:pt>
                <c:pt idx="23">
                  <c:v>44496</c:v>
                </c:pt>
                <c:pt idx="24">
                  <c:v>44461</c:v>
                </c:pt>
                <c:pt idx="25">
                  <c:v>44412</c:v>
                </c:pt>
                <c:pt idx="26">
                  <c:v>44363</c:v>
                </c:pt>
                <c:pt idx="27">
                  <c:v>44321</c:v>
                </c:pt>
                <c:pt idx="28">
                  <c:v>44272</c:v>
                </c:pt>
                <c:pt idx="29">
                  <c:v>44216</c:v>
                </c:pt>
                <c:pt idx="30">
                  <c:v>44174</c:v>
                </c:pt>
                <c:pt idx="31">
                  <c:v>44132</c:v>
                </c:pt>
                <c:pt idx="32">
                  <c:v>44090</c:v>
                </c:pt>
                <c:pt idx="33">
                  <c:v>44048</c:v>
                </c:pt>
                <c:pt idx="34">
                  <c:v>43999</c:v>
                </c:pt>
                <c:pt idx="35">
                  <c:v>43957</c:v>
                </c:pt>
                <c:pt idx="36">
                  <c:v>43908</c:v>
                </c:pt>
                <c:pt idx="37">
                  <c:v>43866</c:v>
                </c:pt>
                <c:pt idx="38">
                  <c:v>43810</c:v>
                </c:pt>
                <c:pt idx="39">
                  <c:v>43768</c:v>
                </c:pt>
                <c:pt idx="40">
                  <c:v>43726</c:v>
                </c:pt>
                <c:pt idx="41">
                  <c:v>43677</c:v>
                </c:pt>
                <c:pt idx="42">
                  <c:v>43635</c:v>
                </c:pt>
                <c:pt idx="43">
                  <c:v>43593</c:v>
                </c:pt>
                <c:pt idx="44">
                  <c:v>43544</c:v>
                </c:pt>
                <c:pt idx="45">
                  <c:v>43502</c:v>
                </c:pt>
                <c:pt idx="46">
                  <c:v>43446</c:v>
                </c:pt>
                <c:pt idx="47">
                  <c:v>43404</c:v>
                </c:pt>
                <c:pt idx="48">
                  <c:v>43362</c:v>
                </c:pt>
                <c:pt idx="49">
                  <c:v>43313</c:v>
                </c:pt>
                <c:pt idx="50">
                  <c:v>43271</c:v>
                </c:pt>
                <c:pt idx="51">
                  <c:v>43236</c:v>
                </c:pt>
                <c:pt idx="52">
                  <c:v>43180</c:v>
                </c:pt>
                <c:pt idx="53">
                  <c:v>43138</c:v>
                </c:pt>
                <c:pt idx="54">
                  <c:v>43075</c:v>
                </c:pt>
                <c:pt idx="55">
                  <c:v>43032</c:v>
                </c:pt>
                <c:pt idx="56">
                  <c:v>42984</c:v>
                </c:pt>
                <c:pt idx="57">
                  <c:v>42942</c:v>
                </c:pt>
                <c:pt idx="58">
                  <c:v>42886</c:v>
                </c:pt>
                <c:pt idx="59">
                  <c:v>42837</c:v>
                </c:pt>
                <c:pt idx="60">
                  <c:v>42788</c:v>
                </c:pt>
                <c:pt idx="61">
                  <c:v>42746</c:v>
                </c:pt>
                <c:pt idx="62">
                  <c:v>42704</c:v>
                </c:pt>
                <c:pt idx="63">
                  <c:v>42662</c:v>
                </c:pt>
                <c:pt idx="64">
                  <c:v>42613</c:v>
                </c:pt>
                <c:pt idx="65">
                  <c:v>42571</c:v>
                </c:pt>
                <c:pt idx="66">
                  <c:v>42529</c:v>
                </c:pt>
                <c:pt idx="67">
                  <c:v>42487</c:v>
                </c:pt>
                <c:pt idx="68">
                  <c:v>42431</c:v>
                </c:pt>
                <c:pt idx="69">
                  <c:v>42389</c:v>
                </c:pt>
                <c:pt idx="70">
                  <c:v>42333</c:v>
                </c:pt>
                <c:pt idx="71">
                  <c:v>42298</c:v>
                </c:pt>
                <c:pt idx="72">
                  <c:v>42249</c:v>
                </c:pt>
                <c:pt idx="73">
                  <c:v>42214</c:v>
                </c:pt>
                <c:pt idx="74">
                  <c:v>42158</c:v>
                </c:pt>
                <c:pt idx="75">
                  <c:v>42123</c:v>
                </c:pt>
                <c:pt idx="76">
                  <c:v>42067</c:v>
                </c:pt>
                <c:pt idx="77">
                  <c:v>42025</c:v>
                </c:pt>
                <c:pt idx="78">
                  <c:v>41976</c:v>
                </c:pt>
                <c:pt idx="79">
                  <c:v>41941</c:v>
                </c:pt>
                <c:pt idx="80">
                  <c:v>41885</c:v>
                </c:pt>
                <c:pt idx="81">
                  <c:v>41836</c:v>
                </c:pt>
                <c:pt idx="82">
                  <c:v>41787</c:v>
                </c:pt>
                <c:pt idx="83">
                  <c:v>41731</c:v>
                </c:pt>
                <c:pt idx="84">
                  <c:v>41696</c:v>
                </c:pt>
                <c:pt idx="85">
                  <c:v>41654</c:v>
                </c:pt>
                <c:pt idx="86">
                  <c:v>41605</c:v>
                </c:pt>
                <c:pt idx="87">
                  <c:v>41556</c:v>
                </c:pt>
                <c:pt idx="88">
                  <c:v>41514</c:v>
                </c:pt>
                <c:pt idx="89">
                  <c:v>41465</c:v>
                </c:pt>
                <c:pt idx="90">
                  <c:v>41423</c:v>
                </c:pt>
                <c:pt idx="91">
                  <c:v>41381</c:v>
                </c:pt>
                <c:pt idx="92">
                  <c:v>41339</c:v>
                </c:pt>
                <c:pt idx="93">
                  <c:v>41290</c:v>
                </c:pt>
                <c:pt idx="94">
                  <c:v>41241</c:v>
                </c:pt>
                <c:pt idx="95">
                  <c:v>41192</c:v>
                </c:pt>
                <c:pt idx="96">
                  <c:v>41150</c:v>
                </c:pt>
                <c:pt idx="97">
                  <c:v>41101</c:v>
                </c:pt>
                <c:pt idx="98">
                  <c:v>41059</c:v>
                </c:pt>
                <c:pt idx="99">
                  <c:v>41017</c:v>
                </c:pt>
                <c:pt idx="100">
                  <c:v>40975</c:v>
                </c:pt>
                <c:pt idx="101">
                  <c:v>40926</c:v>
                </c:pt>
                <c:pt idx="102">
                  <c:v>40877</c:v>
                </c:pt>
                <c:pt idx="103">
                  <c:v>40835</c:v>
                </c:pt>
                <c:pt idx="104">
                  <c:v>40786</c:v>
                </c:pt>
                <c:pt idx="105">
                  <c:v>40744</c:v>
                </c:pt>
                <c:pt idx="106">
                  <c:v>40702</c:v>
                </c:pt>
                <c:pt idx="107">
                  <c:v>40653</c:v>
                </c:pt>
                <c:pt idx="108">
                  <c:v>40604</c:v>
                </c:pt>
                <c:pt idx="109">
                  <c:v>40562</c:v>
                </c:pt>
                <c:pt idx="110">
                  <c:v>40520</c:v>
                </c:pt>
              </c:numCache>
            </c:numRef>
          </c:cat>
          <c:val>
            <c:numRef>
              <c:f>'Selic '!$E$4:$E$114</c:f>
              <c:numCache>
                <c:formatCode>General</c:formatCode>
                <c:ptCount val="111"/>
                <c:pt idx="0">
                  <c:v>10.75</c:v>
                </c:pt>
                <c:pt idx="1">
                  <c:v>10.5</c:v>
                </c:pt>
                <c:pt idx="2">
                  <c:v>10.5</c:v>
                </c:pt>
                <c:pt idx="3">
                  <c:v>10.5</c:v>
                </c:pt>
                <c:pt idx="4">
                  <c:v>10.75</c:v>
                </c:pt>
                <c:pt idx="5">
                  <c:v>11.25</c:v>
                </c:pt>
                <c:pt idx="6">
                  <c:v>11.75</c:v>
                </c:pt>
                <c:pt idx="7">
                  <c:v>12.25</c:v>
                </c:pt>
                <c:pt idx="8">
                  <c:v>12.75</c:v>
                </c:pt>
                <c:pt idx="9">
                  <c:v>13.25</c:v>
                </c:pt>
                <c:pt idx="10">
                  <c:v>13.75</c:v>
                </c:pt>
                <c:pt idx="11">
                  <c:v>13.75</c:v>
                </c:pt>
                <c:pt idx="12">
                  <c:v>13.75</c:v>
                </c:pt>
                <c:pt idx="13">
                  <c:v>13.75</c:v>
                </c:pt>
                <c:pt idx="14">
                  <c:v>13.75</c:v>
                </c:pt>
                <c:pt idx="15">
                  <c:v>13.75</c:v>
                </c:pt>
                <c:pt idx="16">
                  <c:v>13.75</c:v>
                </c:pt>
                <c:pt idx="17">
                  <c:v>13.75</c:v>
                </c:pt>
                <c:pt idx="18">
                  <c:v>13.25</c:v>
                </c:pt>
                <c:pt idx="19">
                  <c:v>12.75</c:v>
                </c:pt>
                <c:pt idx="20">
                  <c:v>11.75</c:v>
                </c:pt>
                <c:pt idx="21">
                  <c:v>10.75</c:v>
                </c:pt>
                <c:pt idx="22">
                  <c:v>9.25</c:v>
                </c:pt>
                <c:pt idx="23">
                  <c:v>7.75</c:v>
                </c:pt>
                <c:pt idx="24">
                  <c:v>6.25</c:v>
                </c:pt>
                <c:pt idx="25">
                  <c:v>5.25</c:v>
                </c:pt>
                <c:pt idx="26">
                  <c:v>4.25</c:v>
                </c:pt>
                <c:pt idx="27">
                  <c:v>3.5</c:v>
                </c:pt>
                <c:pt idx="28">
                  <c:v>2.75</c:v>
                </c:pt>
                <c:pt idx="29">
                  <c:v>2</c:v>
                </c:pt>
                <c:pt idx="30">
                  <c:v>2</c:v>
                </c:pt>
                <c:pt idx="31">
                  <c:v>2</c:v>
                </c:pt>
                <c:pt idx="32">
                  <c:v>2</c:v>
                </c:pt>
                <c:pt idx="33">
                  <c:v>2</c:v>
                </c:pt>
                <c:pt idx="34">
                  <c:v>2.25</c:v>
                </c:pt>
                <c:pt idx="35">
                  <c:v>3</c:v>
                </c:pt>
                <c:pt idx="36">
                  <c:v>3.75</c:v>
                </c:pt>
                <c:pt idx="37">
                  <c:v>4.25</c:v>
                </c:pt>
                <c:pt idx="38">
                  <c:v>4.5</c:v>
                </c:pt>
                <c:pt idx="39">
                  <c:v>5</c:v>
                </c:pt>
                <c:pt idx="40">
                  <c:v>5.5</c:v>
                </c:pt>
                <c:pt idx="41">
                  <c:v>6</c:v>
                </c:pt>
                <c:pt idx="42">
                  <c:v>6.5</c:v>
                </c:pt>
                <c:pt idx="43">
                  <c:v>6.5</c:v>
                </c:pt>
                <c:pt idx="44">
                  <c:v>6.5</c:v>
                </c:pt>
                <c:pt idx="45">
                  <c:v>6.5</c:v>
                </c:pt>
                <c:pt idx="46">
                  <c:v>6.5</c:v>
                </c:pt>
                <c:pt idx="47">
                  <c:v>6.5</c:v>
                </c:pt>
                <c:pt idx="48">
                  <c:v>6.5</c:v>
                </c:pt>
                <c:pt idx="49">
                  <c:v>6.5</c:v>
                </c:pt>
                <c:pt idx="50">
                  <c:v>6.5</c:v>
                </c:pt>
                <c:pt idx="51">
                  <c:v>6.5</c:v>
                </c:pt>
                <c:pt idx="52">
                  <c:v>6.5</c:v>
                </c:pt>
                <c:pt idx="53">
                  <c:v>6.75</c:v>
                </c:pt>
                <c:pt idx="54">
                  <c:v>7</c:v>
                </c:pt>
                <c:pt idx="55">
                  <c:v>7.5</c:v>
                </c:pt>
                <c:pt idx="56">
                  <c:v>8.25</c:v>
                </c:pt>
                <c:pt idx="57">
                  <c:v>9.25</c:v>
                </c:pt>
                <c:pt idx="58">
                  <c:v>10.25</c:v>
                </c:pt>
                <c:pt idx="59">
                  <c:v>11.25</c:v>
                </c:pt>
                <c:pt idx="60">
                  <c:v>12.25</c:v>
                </c:pt>
                <c:pt idx="61">
                  <c:v>13</c:v>
                </c:pt>
                <c:pt idx="62">
                  <c:v>13.75</c:v>
                </c:pt>
                <c:pt idx="63">
                  <c:v>14</c:v>
                </c:pt>
                <c:pt idx="64">
                  <c:v>14.25</c:v>
                </c:pt>
                <c:pt idx="65">
                  <c:v>14.25</c:v>
                </c:pt>
                <c:pt idx="66">
                  <c:v>14.25</c:v>
                </c:pt>
                <c:pt idx="67">
                  <c:v>14.25</c:v>
                </c:pt>
                <c:pt idx="68">
                  <c:v>14.25</c:v>
                </c:pt>
                <c:pt idx="69">
                  <c:v>14.25</c:v>
                </c:pt>
                <c:pt idx="70">
                  <c:v>14.25</c:v>
                </c:pt>
                <c:pt idx="71">
                  <c:v>14.25</c:v>
                </c:pt>
                <c:pt idx="72">
                  <c:v>14.25</c:v>
                </c:pt>
                <c:pt idx="73">
                  <c:v>14.25</c:v>
                </c:pt>
                <c:pt idx="74">
                  <c:v>13.75</c:v>
                </c:pt>
                <c:pt idx="75">
                  <c:v>13.25</c:v>
                </c:pt>
                <c:pt idx="76">
                  <c:v>12.75</c:v>
                </c:pt>
                <c:pt idx="77">
                  <c:v>12.25</c:v>
                </c:pt>
                <c:pt idx="78">
                  <c:v>11.75</c:v>
                </c:pt>
                <c:pt idx="79">
                  <c:v>11.25</c:v>
                </c:pt>
                <c:pt idx="80">
                  <c:v>11</c:v>
                </c:pt>
                <c:pt idx="81">
                  <c:v>11</c:v>
                </c:pt>
                <c:pt idx="82">
                  <c:v>11</c:v>
                </c:pt>
                <c:pt idx="83">
                  <c:v>11</c:v>
                </c:pt>
                <c:pt idx="84">
                  <c:v>10.75</c:v>
                </c:pt>
                <c:pt idx="85">
                  <c:v>10.5</c:v>
                </c:pt>
                <c:pt idx="86">
                  <c:v>10</c:v>
                </c:pt>
                <c:pt idx="87">
                  <c:v>9.5</c:v>
                </c:pt>
                <c:pt idx="88">
                  <c:v>9</c:v>
                </c:pt>
                <c:pt idx="89">
                  <c:v>8.5</c:v>
                </c:pt>
                <c:pt idx="90">
                  <c:v>8</c:v>
                </c:pt>
                <c:pt idx="91">
                  <c:v>7.5</c:v>
                </c:pt>
                <c:pt idx="92">
                  <c:v>7.25</c:v>
                </c:pt>
                <c:pt idx="93">
                  <c:v>7.25</c:v>
                </c:pt>
                <c:pt idx="94">
                  <c:v>7.25</c:v>
                </c:pt>
                <c:pt idx="95">
                  <c:v>7.25</c:v>
                </c:pt>
                <c:pt idx="96">
                  <c:v>7.5</c:v>
                </c:pt>
                <c:pt idx="97">
                  <c:v>8</c:v>
                </c:pt>
                <c:pt idx="98">
                  <c:v>8.5</c:v>
                </c:pt>
                <c:pt idx="99">
                  <c:v>9</c:v>
                </c:pt>
                <c:pt idx="100">
                  <c:v>9.75</c:v>
                </c:pt>
                <c:pt idx="101">
                  <c:v>10.5</c:v>
                </c:pt>
                <c:pt idx="102">
                  <c:v>11</c:v>
                </c:pt>
                <c:pt idx="103">
                  <c:v>11.5</c:v>
                </c:pt>
                <c:pt idx="104">
                  <c:v>12</c:v>
                </c:pt>
                <c:pt idx="105">
                  <c:v>12.5</c:v>
                </c:pt>
                <c:pt idx="106">
                  <c:v>12.25</c:v>
                </c:pt>
                <c:pt idx="107">
                  <c:v>12</c:v>
                </c:pt>
                <c:pt idx="108">
                  <c:v>11.75</c:v>
                </c:pt>
                <c:pt idx="109">
                  <c:v>11.25</c:v>
                </c:pt>
                <c:pt idx="110">
                  <c:v>10.75</c:v>
                </c:pt>
              </c:numCache>
            </c:numRef>
          </c:val>
          <c:smooth val="0"/>
          <c:extLst>
            <c:ext xmlns:c16="http://schemas.microsoft.com/office/drawing/2014/chart" uri="{C3380CC4-5D6E-409C-BE32-E72D297353CC}">
              <c16:uniqueId val="{00000000-0A90-4F13-9549-7FB2E079BB2C}"/>
            </c:ext>
          </c:extLst>
        </c:ser>
        <c:dLbls>
          <c:showLegendKey val="0"/>
          <c:showVal val="0"/>
          <c:showCatName val="0"/>
          <c:showSerName val="0"/>
          <c:showPercent val="0"/>
          <c:showBubbleSize val="0"/>
        </c:dLbls>
        <c:smooth val="0"/>
        <c:axId val="279303680"/>
        <c:axId val="279371776"/>
      </c:lineChart>
      <c:dateAx>
        <c:axId val="279303680"/>
        <c:scaling>
          <c:orientation val="minMax"/>
          <c:max val="45596"/>
          <c:min val="40513"/>
        </c:scaling>
        <c:delete val="0"/>
        <c:axPos val="b"/>
        <c:title>
          <c:tx>
            <c:rich>
              <a:bodyPr/>
              <a:lstStyle/>
              <a:p>
                <a:pPr>
                  <a:defRPr sz="900"/>
                </a:pPr>
                <a:r>
                  <a:rPr lang="en-US" sz="900"/>
                  <a:t>Mês/Ano</a:t>
                </a:r>
              </a:p>
            </c:rich>
          </c:tx>
          <c:layout>
            <c:manualLayout>
              <c:xMode val="edge"/>
              <c:yMode val="edge"/>
              <c:x val="0.47915856389510941"/>
              <c:y val="0.91517435320584928"/>
            </c:manualLayout>
          </c:layout>
          <c:overlay val="0"/>
        </c:title>
        <c:numFmt formatCode="[$-416]mmm\-yy;@" sourceLinked="0"/>
        <c:majorTickMark val="out"/>
        <c:minorTickMark val="none"/>
        <c:tickLblPos val="low"/>
        <c:txPr>
          <a:bodyPr rot="-5400000" vert="horz"/>
          <a:lstStyle/>
          <a:p>
            <a:pPr>
              <a:defRPr sz="700"/>
            </a:pPr>
            <a:endParaRPr lang="pt-BR"/>
          </a:p>
        </c:txPr>
        <c:crossAx val="279371776"/>
        <c:crosses val="autoZero"/>
        <c:auto val="1"/>
        <c:lblOffset val="100"/>
        <c:baseTimeUnit val="months"/>
        <c:majorUnit val="5"/>
        <c:majorTimeUnit val="months"/>
      </c:dateAx>
      <c:valAx>
        <c:axId val="279371776"/>
        <c:scaling>
          <c:orientation val="minMax"/>
          <c:min val="1"/>
        </c:scaling>
        <c:delete val="0"/>
        <c:axPos val="l"/>
        <c:majorGridlines/>
        <c:title>
          <c:tx>
            <c:rich>
              <a:bodyPr rot="-5400000" vert="horz"/>
              <a:lstStyle/>
              <a:p>
                <a:pPr>
                  <a:defRPr sz="900"/>
                </a:pPr>
                <a:r>
                  <a:rPr lang="en-US" sz="900"/>
                  <a:t>Taxa %</a:t>
                </a:r>
              </a:p>
            </c:rich>
          </c:tx>
          <c:layout>
            <c:manualLayout>
              <c:xMode val="edge"/>
              <c:yMode val="edge"/>
              <c:x val="8.9337394382974344E-3"/>
              <c:y val="0.32335292809615307"/>
            </c:manualLayout>
          </c:layout>
          <c:overlay val="0"/>
        </c:title>
        <c:numFmt formatCode="General" sourceLinked="1"/>
        <c:majorTickMark val="out"/>
        <c:minorTickMark val="none"/>
        <c:tickLblPos val="nextTo"/>
        <c:txPr>
          <a:bodyPr/>
          <a:lstStyle/>
          <a:p>
            <a:pPr>
              <a:defRPr sz="700"/>
            </a:pPr>
            <a:endParaRPr lang="pt-BR"/>
          </a:p>
        </c:txPr>
        <c:crossAx val="279303680"/>
        <c:crosses val="autoZero"/>
        <c:crossBetween val="midCat"/>
      </c:valAx>
    </c:plotArea>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4665883182512635"/>
          <c:y val="0.10908323959505062"/>
          <c:w val="0.83267570965987825"/>
          <c:h val="0.59979669394915514"/>
        </c:manualLayout>
      </c:layout>
      <c:barChart>
        <c:barDir val="col"/>
        <c:grouping val="clustered"/>
        <c:varyColors val="0"/>
        <c:ser>
          <c:idx val="1"/>
          <c:order val="0"/>
          <c:spPr>
            <a:solidFill>
              <a:schemeClr val="tx2">
                <a:lumMod val="60000"/>
                <a:lumOff val="40000"/>
              </a:schemeClr>
            </a:solidFill>
          </c:spPr>
          <c:invertIfNegative val="0"/>
          <c:dPt>
            <c:idx val="16"/>
            <c:invertIfNegative val="0"/>
            <c:bubble3D val="0"/>
            <c:extLst>
              <c:ext xmlns:c16="http://schemas.microsoft.com/office/drawing/2014/chart" uri="{C3380CC4-5D6E-409C-BE32-E72D297353CC}">
                <c16:uniqueId val="{00000000-DBB6-4F1E-8BD8-24AE9C28BEC5}"/>
              </c:ext>
            </c:extLst>
          </c:dPt>
          <c:dPt>
            <c:idx val="17"/>
            <c:invertIfNegative val="0"/>
            <c:bubble3D val="0"/>
            <c:extLst>
              <c:ext xmlns:c16="http://schemas.microsoft.com/office/drawing/2014/chart" uri="{C3380CC4-5D6E-409C-BE32-E72D297353CC}">
                <c16:uniqueId val="{00000001-DBB6-4F1E-8BD8-24AE9C28BEC5}"/>
              </c:ext>
            </c:extLst>
          </c:dPt>
          <c:dPt>
            <c:idx val="18"/>
            <c:invertIfNegative val="0"/>
            <c:bubble3D val="0"/>
            <c:extLst>
              <c:ext xmlns:c16="http://schemas.microsoft.com/office/drawing/2014/chart" uri="{C3380CC4-5D6E-409C-BE32-E72D297353CC}">
                <c16:uniqueId val="{00000002-DBB6-4F1E-8BD8-24AE9C28BEC5}"/>
              </c:ext>
            </c:extLst>
          </c:dPt>
          <c:dPt>
            <c:idx val="19"/>
            <c:invertIfNegative val="0"/>
            <c:bubble3D val="0"/>
            <c:extLst>
              <c:ext xmlns:c16="http://schemas.microsoft.com/office/drawing/2014/chart" uri="{C3380CC4-5D6E-409C-BE32-E72D297353CC}">
                <c16:uniqueId val="{00000003-DBB6-4F1E-8BD8-24AE9C28BEC5}"/>
              </c:ext>
            </c:extLst>
          </c:dPt>
          <c:dPt>
            <c:idx val="20"/>
            <c:invertIfNegative val="0"/>
            <c:bubble3D val="0"/>
            <c:extLst>
              <c:ext xmlns:c16="http://schemas.microsoft.com/office/drawing/2014/chart" uri="{C3380CC4-5D6E-409C-BE32-E72D297353CC}">
                <c16:uniqueId val="{00000004-DBB6-4F1E-8BD8-24AE9C28BEC5}"/>
              </c:ext>
            </c:extLst>
          </c:dPt>
          <c:dPt>
            <c:idx val="21"/>
            <c:invertIfNegative val="0"/>
            <c:bubble3D val="0"/>
            <c:extLst>
              <c:ext xmlns:c16="http://schemas.microsoft.com/office/drawing/2014/chart" uri="{C3380CC4-5D6E-409C-BE32-E72D297353CC}">
                <c16:uniqueId val="{00000005-DBB6-4F1E-8BD8-24AE9C28BEC5}"/>
              </c:ext>
            </c:extLst>
          </c:dPt>
          <c:dPt>
            <c:idx val="22"/>
            <c:invertIfNegative val="0"/>
            <c:bubble3D val="0"/>
            <c:spPr>
              <a:solidFill>
                <a:schemeClr val="accent1"/>
              </a:solidFill>
            </c:spPr>
            <c:extLst>
              <c:ext xmlns:c16="http://schemas.microsoft.com/office/drawing/2014/chart" uri="{C3380CC4-5D6E-409C-BE32-E72D297353CC}">
                <c16:uniqueId val="{00000007-DBB6-4F1E-8BD8-24AE9C28BEC5}"/>
              </c:ext>
            </c:extLst>
          </c:dPt>
          <c:dPt>
            <c:idx val="23"/>
            <c:invertIfNegative val="0"/>
            <c:bubble3D val="0"/>
            <c:spPr>
              <a:solidFill>
                <a:schemeClr val="accent1"/>
              </a:solidFill>
            </c:spPr>
            <c:extLst>
              <c:ext xmlns:c16="http://schemas.microsoft.com/office/drawing/2014/chart" uri="{C3380CC4-5D6E-409C-BE32-E72D297353CC}">
                <c16:uniqueId val="{00000009-DBB6-4F1E-8BD8-24AE9C28BEC5}"/>
              </c:ext>
            </c:extLst>
          </c:dPt>
          <c:cat>
            <c:strRef>
              <c:f>'IPCA 2024'!$A$1:$A$25</c:f>
              <c:strCache>
                <c:ptCount val="25"/>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pt idx="21">
                  <c:v>2021</c:v>
                </c:pt>
                <c:pt idx="22">
                  <c:v>2022</c:v>
                </c:pt>
                <c:pt idx="23">
                  <c:v>2023</c:v>
                </c:pt>
                <c:pt idx="24">
                  <c:v>2024*</c:v>
                </c:pt>
              </c:strCache>
            </c:strRef>
          </c:cat>
          <c:val>
            <c:numRef>
              <c:f>'IPCA 2024'!$B$1:$B$25</c:f>
              <c:numCache>
                <c:formatCode>0.00%</c:formatCode>
                <c:ptCount val="25"/>
                <c:pt idx="0">
                  <c:v>5.9700000000000003E-2</c:v>
                </c:pt>
                <c:pt idx="1">
                  <c:v>7.6700000000000004E-2</c:v>
                </c:pt>
                <c:pt idx="2">
                  <c:v>0.12529999999999999</c:v>
                </c:pt>
                <c:pt idx="3">
                  <c:v>9.2999999999999999E-2</c:v>
                </c:pt>
                <c:pt idx="4">
                  <c:v>7.5999999999999998E-2</c:v>
                </c:pt>
                <c:pt idx="5">
                  <c:v>5.6899999999999999E-2</c:v>
                </c:pt>
                <c:pt idx="6">
                  <c:v>3.1399999999999997E-2</c:v>
                </c:pt>
                <c:pt idx="7">
                  <c:v>4.4600000000000001E-2</c:v>
                </c:pt>
                <c:pt idx="8">
                  <c:v>5.8999999999999997E-2</c:v>
                </c:pt>
                <c:pt idx="9">
                  <c:v>4.3099999999999999E-2</c:v>
                </c:pt>
                <c:pt idx="10">
                  <c:v>5.91E-2</c:v>
                </c:pt>
                <c:pt idx="11">
                  <c:v>6.5000000000000002E-2</c:v>
                </c:pt>
                <c:pt idx="12">
                  <c:v>5.8400000000000001E-2</c:v>
                </c:pt>
                <c:pt idx="13">
                  <c:v>5.91E-2</c:v>
                </c:pt>
                <c:pt idx="14">
                  <c:v>6.4100000000000004E-2</c:v>
                </c:pt>
                <c:pt idx="15">
                  <c:v>0.1067</c:v>
                </c:pt>
                <c:pt idx="16">
                  <c:v>6.2799999999999995E-2</c:v>
                </c:pt>
                <c:pt idx="17">
                  <c:v>2.9499999999999998E-2</c:v>
                </c:pt>
                <c:pt idx="18">
                  <c:v>3.7499999999999999E-2</c:v>
                </c:pt>
                <c:pt idx="19">
                  <c:v>4.3099999999999999E-2</c:v>
                </c:pt>
                <c:pt idx="20">
                  <c:v>4.5199999999999997E-2</c:v>
                </c:pt>
                <c:pt idx="21">
                  <c:v>0.10059999999999999</c:v>
                </c:pt>
                <c:pt idx="22">
                  <c:v>5.79E-2</c:v>
                </c:pt>
                <c:pt idx="23">
                  <c:v>4.6199999999999998E-2</c:v>
                </c:pt>
                <c:pt idx="24">
                  <c:v>4.4999999999999998E-2</c:v>
                </c:pt>
              </c:numCache>
            </c:numRef>
          </c:val>
          <c:extLst>
            <c:ext xmlns:c16="http://schemas.microsoft.com/office/drawing/2014/chart" uri="{C3380CC4-5D6E-409C-BE32-E72D297353CC}">
              <c16:uniqueId val="{0000000A-DBB6-4F1E-8BD8-24AE9C28BEC5}"/>
            </c:ext>
          </c:extLst>
        </c:ser>
        <c:dLbls>
          <c:showLegendKey val="0"/>
          <c:showVal val="0"/>
          <c:showCatName val="0"/>
          <c:showSerName val="0"/>
          <c:showPercent val="0"/>
          <c:showBubbleSize val="0"/>
        </c:dLbls>
        <c:gapWidth val="150"/>
        <c:axId val="279661568"/>
        <c:axId val="279712896"/>
      </c:barChart>
      <c:catAx>
        <c:axId val="279661568"/>
        <c:scaling>
          <c:orientation val="minMax"/>
        </c:scaling>
        <c:delete val="0"/>
        <c:axPos val="b"/>
        <c:title>
          <c:tx>
            <c:rich>
              <a:bodyPr/>
              <a:lstStyle/>
              <a:p>
                <a:pPr>
                  <a:defRPr sz="900"/>
                </a:pPr>
                <a:r>
                  <a:rPr lang="en-US" sz="900"/>
                  <a:t>Ano</a:t>
                </a:r>
              </a:p>
            </c:rich>
          </c:tx>
          <c:layout>
            <c:manualLayout>
              <c:xMode val="edge"/>
              <c:yMode val="edge"/>
              <c:x val="0.48693007685416567"/>
              <c:y val="0.92424549204076767"/>
            </c:manualLayout>
          </c:layout>
          <c:overlay val="0"/>
        </c:title>
        <c:numFmt formatCode="General" sourceLinked="1"/>
        <c:majorTickMark val="out"/>
        <c:minorTickMark val="none"/>
        <c:tickLblPos val="nextTo"/>
        <c:txPr>
          <a:bodyPr rot="-2340000"/>
          <a:lstStyle/>
          <a:p>
            <a:pPr algn="ctr">
              <a:defRPr lang="pt-BR" sz="600" b="0" i="0" u="none" strike="noStrike" kern="1200" baseline="0">
                <a:solidFill>
                  <a:sysClr val="windowText" lastClr="000000"/>
                </a:solidFill>
                <a:latin typeface="+mn-lt"/>
                <a:ea typeface="+mn-ea"/>
                <a:cs typeface="+mn-cs"/>
              </a:defRPr>
            </a:pPr>
            <a:endParaRPr lang="pt-BR"/>
          </a:p>
        </c:txPr>
        <c:crossAx val="279712896"/>
        <c:crosses val="autoZero"/>
        <c:auto val="1"/>
        <c:lblAlgn val="ctr"/>
        <c:lblOffset val="100"/>
        <c:noMultiLvlLbl val="0"/>
      </c:catAx>
      <c:valAx>
        <c:axId val="279712896"/>
        <c:scaling>
          <c:orientation val="minMax"/>
        </c:scaling>
        <c:delete val="0"/>
        <c:axPos val="l"/>
        <c:majorGridlines/>
        <c:title>
          <c:tx>
            <c:rich>
              <a:bodyPr rot="-5400000" vert="horz"/>
              <a:lstStyle/>
              <a:p>
                <a:pPr>
                  <a:defRPr/>
                </a:pPr>
                <a:r>
                  <a:rPr lang="en-US"/>
                  <a:t>Taxa</a:t>
                </a:r>
              </a:p>
            </c:rich>
          </c:tx>
          <c:layout>
            <c:manualLayout>
              <c:xMode val="edge"/>
              <c:yMode val="edge"/>
              <c:x val="1.0802021693355141E-2"/>
              <c:y val="0.35805572380375528"/>
            </c:manualLayout>
          </c:layout>
          <c:overlay val="0"/>
        </c:title>
        <c:numFmt formatCode="0.00%" sourceLinked="1"/>
        <c:majorTickMark val="out"/>
        <c:minorTickMark val="none"/>
        <c:tickLblPos val="nextTo"/>
        <c:txPr>
          <a:bodyPr/>
          <a:lstStyle/>
          <a:p>
            <a:pPr>
              <a:defRPr sz="600"/>
            </a:pPr>
            <a:endParaRPr lang="pt-BR"/>
          </a:p>
        </c:txPr>
        <c:crossAx val="279661568"/>
        <c:crosses val="autoZero"/>
        <c:crossBetween val="between"/>
      </c:valAx>
    </c:plotArea>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2373502612582488"/>
          <c:y val="6.9924386002618161E-2"/>
          <c:w val="0.86153451696335759"/>
          <c:h val="0.65203870770391825"/>
        </c:manualLayout>
      </c:layout>
      <c:barChart>
        <c:barDir val="col"/>
        <c:grouping val="clustered"/>
        <c:varyColors val="0"/>
        <c:ser>
          <c:idx val="0"/>
          <c:order val="0"/>
          <c:invertIfNegative val="0"/>
          <c:dPt>
            <c:idx val="8"/>
            <c:invertIfNegative val="0"/>
            <c:bubble3D val="0"/>
            <c:spPr>
              <a:solidFill>
                <a:srgbClr val="FF0000"/>
              </a:solidFill>
            </c:spPr>
            <c:extLst>
              <c:ext xmlns:c16="http://schemas.microsoft.com/office/drawing/2014/chart" uri="{C3380CC4-5D6E-409C-BE32-E72D297353CC}">
                <c16:uniqueId val="{00000001-AF3D-4D98-9ADD-C0F84C517466}"/>
              </c:ext>
            </c:extLst>
          </c:dPt>
          <c:dPt>
            <c:idx val="9"/>
            <c:invertIfNegative val="0"/>
            <c:bubble3D val="0"/>
            <c:spPr>
              <a:solidFill>
                <a:schemeClr val="accent1"/>
              </a:solidFill>
            </c:spPr>
            <c:extLst>
              <c:ext xmlns:c16="http://schemas.microsoft.com/office/drawing/2014/chart" uri="{C3380CC4-5D6E-409C-BE32-E72D297353CC}">
                <c16:uniqueId val="{00000003-AF3D-4D98-9ADD-C0F84C517466}"/>
              </c:ext>
            </c:extLst>
          </c:dPt>
          <c:dPt>
            <c:idx val="14"/>
            <c:invertIfNegative val="0"/>
            <c:bubble3D val="0"/>
            <c:spPr>
              <a:solidFill>
                <a:srgbClr val="FF0000"/>
              </a:solidFill>
            </c:spPr>
            <c:extLst>
              <c:ext xmlns:c16="http://schemas.microsoft.com/office/drawing/2014/chart" uri="{C3380CC4-5D6E-409C-BE32-E72D297353CC}">
                <c16:uniqueId val="{00000005-AF3D-4D98-9ADD-C0F84C517466}"/>
              </c:ext>
            </c:extLst>
          </c:dPt>
          <c:dPt>
            <c:idx val="15"/>
            <c:invertIfNegative val="0"/>
            <c:bubble3D val="0"/>
            <c:spPr>
              <a:solidFill>
                <a:srgbClr val="FF0000"/>
              </a:solidFill>
            </c:spPr>
            <c:extLst>
              <c:ext xmlns:c16="http://schemas.microsoft.com/office/drawing/2014/chart" uri="{C3380CC4-5D6E-409C-BE32-E72D297353CC}">
                <c16:uniqueId val="{00000007-AF3D-4D98-9ADD-C0F84C517466}"/>
              </c:ext>
            </c:extLst>
          </c:dPt>
          <c:dPt>
            <c:idx val="16"/>
            <c:invertIfNegative val="0"/>
            <c:bubble3D val="0"/>
            <c:spPr>
              <a:solidFill>
                <a:schemeClr val="accent1"/>
              </a:solidFill>
            </c:spPr>
            <c:extLst>
              <c:ext xmlns:c16="http://schemas.microsoft.com/office/drawing/2014/chart" uri="{C3380CC4-5D6E-409C-BE32-E72D297353CC}">
                <c16:uniqueId val="{00000009-AF3D-4D98-9ADD-C0F84C517466}"/>
              </c:ext>
            </c:extLst>
          </c:dPt>
          <c:dPt>
            <c:idx val="19"/>
            <c:invertIfNegative val="0"/>
            <c:bubble3D val="0"/>
            <c:spPr>
              <a:solidFill>
                <a:srgbClr val="FF0000"/>
              </a:solidFill>
            </c:spPr>
            <c:extLst>
              <c:ext xmlns:c16="http://schemas.microsoft.com/office/drawing/2014/chart" uri="{C3380CC4-5D6E-409C-BE32-E72D297353CC}">
                <c16:uniqueId val="{0000000B-AF3D-4D98-9ADD-C0F84C517466}"/>
              </c:ext>
            </c:extLst>
          </c:dPt>
          <c:dPt>
            <c:idx val="20"/>
            <c:invertIfNegative val="0"/>
            <c:bubble3D val="0"/>
            <c:spPr>
              <a:solidFill>
                <a:schemeClr val="accent1"/>
              </a:solidFill>
            </c:spPr>
            <c:extLst>
              <c:ext xmlns:c16="http://schemas.microsoft.com/office/drawing/2014/chart" uri="{C3380CC4-5D6E-409C-BE32-E72D297353CC}">
                <c16:uniqueId val="{0000000D-AF3D-4D98-9ADD-C0F84C517466}"/>
              </c:ext>
            </c:extLst>
          </c:dPt>
          <c:dLbls>
            <c:dLbl>
              <c:idx val="4"/>
              <c:layout>
                <c:manualLayout>
                  <c:x val="0"/>
                  <c:y val="1.417823718739495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AF3D-4D98-9ADD-C0F84C517466}"/>
                </c:ext>
              </c:extLst>
            </c:dLbl>
            <c:dLbl>
              <c:idx val="7"/>
              <c:layout>
                <c:manualLayout>
                  <c:x val="5.4270779138227533E-3"/>
                  <c:y val="1.417823718739498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AF3D-4D98-9ADD-C0F84C517466}"/>
                </c:ext>
              </c:extLst>
            </c:dLbl>
            <c:dLbl>
              <c:idx val="9"/>
              <c:layout>
                <c:manualLayout>
                  <c:x val="0"/>
                  <c:y val="1.3889253426655002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AF3D-4D98-9ADD-C0F84C517466}"/>
                </c:ext>
              </c:extLst>
            </c:dLbl>
            <c:dLbl>
              <c:idx val="14"/>
              <c:layout>
                <c:manualLayout>
                  <c:x val="-8.4465424622904937E-3"/>
                  <c:y val="-4.6285360163312072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AF3D-4D98-9ADD-C0F84C517466}"/>
                </c:ext>
              </c:extLst>
            </c:dLbl>
            <c:dLbl>
              <c:idx val="15"/>
              <c:layout>
                <c:manualLayout>
                  <c:x val="1.1532950273107754E-2"/>
                  <c:y val="4.6329104695246428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AF3D-4D98-9ADD-C0F84C517466}"/>
                </c:ext>
              </c:extLst>
            </c:dLbl>
            <c:dLbl>
              <c:idx val="16"/>
              <c:layout>
                <c:manualLayout>
                  <c:x val="-1.9252238402558845E-2"/>
                  <c:y val="1.4312204782866437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AF3D-4D98-9ADD-C0F84C517466}"/>
                </c:ext>
              </c:extLst>
            </c:dLbl>
            <c:dLbl>
              <c:idx val="17"/>
              <c:layout>
                <c:manualLayout>
                  <c:x val="-4.9140049140049139E-3"/>
                  <c:y val="-9.5693779904306216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AF3D-4D98-9ADD-C0F84C517466}"/>
                </c:ext>
              </c:extLst>
            </c:dLbl>
            <c:dLbl>
              <c:idx val="18"/>
              <c:layout>
                <c:manualLayout>
                  <c:x val="1.6281233741468112E-2"/>
                  <c:y val="1.417823718739498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AF3D-4D98-9ADD-C0F84C517466}"/>
                </c:ext>
              </c:extLst>
            </c:dLbl>
            <c:dLbl>
              <c:idx val="20"/>
              <c:layout>
                <c:manualLayout>
                  <c:x val="-1.0854155827645406E-2"/>
                  <c:y val="1.417823718739498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AF3D-4D98-9ADD-C0F84C517466}"/>
                </c:ext>
              </c:extLst>
            </c:dLbl>
            <c:dLbl>
              <c:idx val="21"/>
              <c:layout>
                <c:manualLayout>
                  <c:x val="-2.7628954528992667E-3"/>
                  <c:y val="-5.5819831446436965E-7"/>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AF3D-4D98-9ADD-C0F84C517466}"/>
                </c:ext>
              </c:extLst>
            </c:dLbl>
            <c:dLbl>
              <c:idx val="22"/>
              <c:layout>
                <c:manualLayout>
                  <c:x val="8.1406168707340559E-3"/>
                  <c:y val="2.835591617647551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AF3D-4D98-9ADD-C0F84C517466}"/>
                </c:ext>
              </c:extLst>
            </c:dLbl>
            <c:dLbl>
              <c:idx val="23"/>
              <c:layout>
                <c:manualLayout>
                  <c:x val="2.6265775115993108E-3"/>
                  <c:y val="-3.366884773354738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AF3D-4D98-9ADD-C0F84C517466}"/>
                </c:ext>
              </c:extLst>
            </c:dLbl>
            <c:spPr>
              <a:noFill/>
              <a:ln w="25400">
                <a:noFill/>
              </a:ln>
            </c:spPr>
            <c:txPr>
              <a:bodyPr/>
              <a:lstStyle/>
              <a:p>
                <a:pPr>
                  <a:defRPr sz="650"/>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PIB!$A$2:$A$25</c:f>
              <c:strCache>
                <c:ptCount val="24"/>
                <c:pt idx="0">
                  <c:v>2001</c:v>
                </c:pt>
                <c:pt idx="1">
                  <c:v>2002</c:v>
                </c:pt>
                <c:pt idx="2">
                  <c:v>2003</c:v>
                </c:pt>
                <c:pt idx="3">
                  <c:v>2004</c:v>
                </c:pt>
                <c:pt idx="4">
                  <c:v>2005</c:v>
                </c:pt>
                <c:pt idx="5">
                  <c:v>2006</c:v>
                </c:pt>
                <c:pt idx="6">
                  <c:v>2007</c:v>
                </c:pt>
                <c:pt idx="7">
                  <c:v>2008</c:v>
                </c:pt>
                <c:pt idx="8">
                  <c:v>2009</c:v>
                </c:pt>
                <c:pt idx="9">
                  <c:v>2010</c:v>
                </c:pt>
                <c:pt idx="10">
                  <c:v>2011</c:v>
                </c:pt>
                <c:pt idx="11">
                  <c:v>2012</c:v>
                </c:pt>
                <c:pt idx="12">
                  <c:v>2013</c:v>
                </c:pt>
                <c:pt idx="13">
                  <c:v>2014</c:v>
                </c:pt>
                <c:pt idx="14">
                  <c:v>2015</c:v>
                </c:pt>
                <c:pt idx="15">
                  <c:v>2016</c:v>
                </c:pt>
                <c:pt idx="16">
                  <c:v>2017</c:v>
                </c:pt>
                <c:pt idx="17">
                  <c:v>2018</c:v>
                </c:pt>
                <c:pt idx="18">
                  <c:v>2019</c:v>
                </c:pt>
                <c:pt idx="19">
                  <c:v>2020</c:v>
                </c:pt>
                <c:pt idx="20">
                  <c:v>2021</c:v>
                </c:pt>
                <c:pt idx="21">
                  <c:v>2022</c:v>
                </c:pt>
                <c:pt idx="22">
                  <c:v>2023</c:v>
                </c:pt>
                <c:pt idx="23">
                  <c:v>2024*</c:v>
                </c:pt>
              </c:strCache>
            </c:strRef>
          </c:cat>
          <c:val>
            <c:numRef>
              <c:f>PIB!$B$2:$B$25</c:f>
              <c:numCache>
                <c:formatCode>0.00%</c:formatCode>
                <c:ptCount val="24"/>
                <c:pt idx="0">
                  <c:v>1.2999999999999999E-2</c:v>
                </c:pt>
                <c:pt idx="1">
                  <c:v>2.7E-2</c:v>
                </c:pt>
                <c:pt idx="2">
                  <c:v>1.0999999999999999E-2</c:v>
                </c:pt>
                <c:pt idx="3">
                  <c:v>5.7000000000000002E-2</c:v>
                </c:pt>
                <c:pt idx="4">
                  <c:v>3.2000000000000001E-2</c:v>
                </c:pt>
                <c:pt idx="5">
                  <c:v>0.04</c:v>
                </c:pt>
                <c:pt idx="6">
                  <c:v>6.0999999999999999E-2</c:v>
                </c:pt>
                <c:pt idx="7">
                  <c:v>5.1999999999999998E-2</c:v>
                </c:pt>
                <c:pt idx="8">
                  <c:v>-3.0000000000000001E-3</c:v>
                </c:pt>
                <c:pt idx="9">
                  <c:v>7.4999999999999997E-2</c:v>
                </c:pt>
                <c:pt idx="10">
                  <c:v>2.7E-2</c:v>
                </c:pt>
                <c:pt idx="11">
                  <c:v>0.01</c:v>
                </c:pt>
                <c:pt idx="12">
                  <c:v>2.5000000000000001E-2</c:v>
                </c:pt>
                <c:pt idx="13">
                  <c:v>1E-3</c:v>
                </c:pt>
                <c:pt idx="14">
                  <c:v>-3.7999999999999999E-2</c:v>
                </c:pt>
                <c:pt idx="15">
                  <c:v>-3.5999999999999997E-2</c:v>
                </c:pt>
                <c:pt idx="16">
                  <c:v>0.01</c:v>
                </c:pt>
                <c:pt idx="17">
                  <c:v>1.0999999999999999E-2</c:v>
                </c:pt>
                <c:pt idx="18">
                  <c:v>1.0999999999999999E-2</c:v>
                </c:pt>
                <c:pt idx="19">
                  <c:v>-4.1000000000000002E-2</c:v>
                </c:pt>
                <c:pt idx="20">
                  <c:v>4.5999999999999999E-2</c:v>
                </c:pt>
                <c:pt idx="21">
                  <c:v>2.9000000000000001E-2</c:v>
                </c:pt>
                <c:pt idx="22">
                  <c:v>2.9000000000000001E-2</c:v>
                </c:pt>
                <c:pt idx="23">
                  <c:v>3.0499999999999999E-2</c:v>
                </c:pt>
              </c:numCache>
            </c:numRef>
          </c:val>
          <c:extLst>
            <c:ext xmlns:c16="http://schemas.microsoft.com/office/drawing/2014/chart" uri="{C3380CC4-5D6E-409C-BE32-E72D297353CC}">
              <c16:uniqueId val="{00000015-AF3D-4D98-9ADD-C0F84C517466}"/>
            </c:ext>
          </c:extLst>
        </c:ser>
        <c:dLbls>
          <c:showLegendKey val="0"/>
          <c:showVal val="0"/>
          <c:showCatName val="0"/>
          <c:showSerName val="0"/>
          <c:showPercent val="0"/>
          <c:showBubbleSize val="0"/>
        </c:dLbls>
        <c:gapWidth val="150"/>
        <c:axId val="280124032"/>
        <c:axId val="286816896"/>
      </c:barChart>
      <c:catAx>
        <c:axId val="280124032"/>
        <c:scaling>
          <c:orientation val="minMax"/>
        </c:scaling>
        <c:delete val="0"/>
        <c:axPos val="b"/>
        <c:title>
          <c:tx>
            <c:rich>
              <a:bodyPr/>
              <a:lstStyle/>
              <a:p>
                <a:pPr>
                  <a:defRPr sz="800"/>
                </a:pPr>
                <a:r>
                  <a:rPr lang="en-US" sz="800"/>
                  <a:t>Ano</a:t>
                </a:r>
              </a:p>
            </c:rich>
          </c:tx>
          <c:layout>
            <c:manualLayout>
              <c:xMode val="edge"/>
              <c:yMode val="edge"/>
              <c:x val="0.51003450121560356"/>
              <c:y val="0.9272486154541687"/>
            </c:manualLayout>
          </c:layout>
          <c:overlay val="0"/>
        </c:title>
        <c:numFmt formatCode="General" sourceLinked="1"/>
        <c:majorTickMark val="out"/>
        <c:minorTickMark val="none"/>
        <c:tickLblPos val="low"/>
        <c:txPr>
          <a:bodyPr/>
          <a:lstStyle/>
          <a:p>
            <a:pPr>
              <a:defRPr sz="700"/>
            </a:pPr>
            <a:endParaRPr lang="pt-BR"/>
          </a:p>
        </c:txPr>
        <c:crossAx val="286816896"/>
        <c:crosses val="autoZero"/>
        <c:auto val="1"/>
        <c:lblAlgn val="ctr"/>
        <c:lblOffset val="100"/>
        <c:noMultiLvlLbl val="0"/>
      </c:catAx>
      <c:valAx>
        <c:axId val="286816896"/>
        <c:scaling>
          <c:orientation val="minMax"/>
        </c:scaling>
        <c:delete val="0"/>
        <c:axPos val="l"/>
        <c:majorGridlines/>
        <c:title>
          <c:tx>
            <c:rich>
              <a:bodyPr rot="-5400000" vert="horz"/>
              <a:lstStyle/>
              <a:p>
                <a:pPr>
                  <a:defRPr sz="800"/>
                </a:pPr>
                <a:r>
                  <a:rPr lang="pt-BR" sz="800"/>
                  <a:t>Taxa</a:t>
                </a:r>
              </a:p>
              <a:p>
                <a:pPr>
                  <a:defRPr sz="800"/>
                </a:pPr>
                <a:endParaRPr lang="pt-BR" sz="800"/>
              </a:p>
            </c:rich>
          </c:tx>
          <c:overlay val="0"/>
        </c:title>
        <c:numFmt formatCode="0.00%" sourceLinked="1"/>
        <c:majorTickMark val="out"/>
        <c:minorTickMark val="none"/>
        <c:tickLblPos val="nextTo"/>
        <c:txPr>
          <a:bodyPr/>
          <a:lstStyle/>
          <a:p>
            <a:pPr>
              <a:defRPr sz="700"/>
            </a:pPr>
            <a:endParaRPr lang="pt-BR"/>
          </a:p>
        </c:txPr>
        <c:crossAx val="280124032"/>
        <c:crosses val="autoZero"/>
        <c:crossBetween val="between"/>
      </c:valAx>
    </c:plotArea>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550480240173506"/>
          <c:y val="3.75116652085156E-2"/>
          <c:w val="0.79713839155512489"/>
          <c:h val="0.65185746012517665"/>
        </c:manualLayout>
      </c:layout>
      <c:lineChart>
        <c:grouping val="standard"/>
        <c:varyColors val="0"/>
        <c:ser>
          <c:idx val="4"/>
          <c:order val="0"/>
          <c:tx>
            <c:strRef>
              <c:f>'Renda Fixa acumulado'!$A$9</c:f>
              <c:strCache>
                <c:ptCount val="1"/>
                <c:pt idx="0">
                  <c:v>IMA-Geral</c:v>
                </c:pt>
              </c:strCache>
            </c:strRef>
          </c:tx>
          <c:marker>
            <c:symbol val="none"/>
          </c:marker>
          <c:dPt>
            <c:idx val="2"/>
            <c:bubble3D val="0"/>
            <c:spPr/>
            <c:extLst>
              <c:ext xmlns:c16="http://schemas.microsoft.com/office/drawing/2014/chart" uri="{C3380CC4-5D6E-409C-BE32-E72D297353CC}">
                <c16:uniqueId val="{00000001-C33A-447C-923E-2406329E972B}"/>
              </c:ext>
            </c:extLst>
          </c:dPt>
          <c:cat>
            <c:numRef>
              <c:f>'Renda Fixa acumulado'!$B$1:$J$1</c:f>
              <c:numCache>
                <c:formatCode>General</c:formatCode>
                <c:ptCount val="9"/>
                <c:pt idx="0">
                  <c:v>2015</c:v>
                </c:pt>
                <c:pt idx="1">
                  <c:v>2016</c:v>
                </c:pt>
                <c:pt idx="2">
                  <c:v>2017</c:v>
                </c:pt>
                <c:pt idx="3">
                  <c:v>2018</c:v>
                </c:pt>
                <c:pt idx="4">
                  <c:v>2019</c:v>
                </c:pt>
                <c:pt idx="5">
                  <c:v>2020</c:v>
                </c:pt>
                <c:pt idx="6">
                  <c:v>2021</c:v>
                </c:pt>
                <c:pt idx="7">
                  <c:v>2022</c:v>
                </c:pt>
                <c:pt idx="8">
                  <c:v>2023</c:v>
                </c:pt>
              </c:numCache>
            </c:numRef>
          </c:cat>
          <c:val>
            <c:numRef>
              <c:f>'Renda Fixa acumulado'!$B$9:$J$9</c:f>
              <c:numCache>
                <c:formatCode>#,##0.00_ ;\-#,##0.00\ </c:formatCode>
                <c:ptCount val="9"/>
                <c:pt idx="0">
                  <c:v>9.32</c:v>
                </c:pt>
                <c:pt idx="1">
                  <c:v>21.08</c:v>
                </c:pt>
                <c:pt idx="2">
                  <c:v>12.82</c:v>
                </c:pt>
                <c:pt idx="3">
                  <c:v>9.7956000000000003</c:v>
                </c:pt>
                <c:pt idx="4">
                  <c:v>12.821</c:v>
                </c:pt>
                <c:pt idx="5">
                  <c:v>5.3367000000000004</c:v>
                </c:pt>
                <c:pt idx="6">
                  <c:v>0.9597</c:v>
                </c:pt>
                <c:pt idx="7">
                  <c:v>9.66</c:v>
                </c:pt>
                <c:pt idx="8">
                  <c:v>14.8</c:v>
                </c:pt>
              </c:numCache>
            </c:numRef>
          </c:val>
          <c:smooth val="0"/>
          <c:extLst>
            <c:ext xmlns:c16="http://schemas.microsoft.com/office/drawing/2014/chart" uri="{C3380CC4-5D6E-409C-BE32-E72D297353CC}">
              <c16:uniqueId val="{00000002-C33A-447C-923E-2406329E972B}"/>
            </c:ext>
          </c:extLst>
        </c:ser>
        <c:ser>
          <c:idx val="6"/>
          <c:order val="1"/>
          <c:tx>
            <c:strRef>
              <c:f>'Renda Fixa acumulado'!$A$10</c:f>
              <c:strCache>
                <c:ptCount val="1"/>
                <c:pt idx="0">
                  <c:v>IPCA +6%</c:v>
                </c:pt>
              </c:strCache>
            </c:strRef>
          </c:tx>
          <c:spPr>
            <a:ln>
              <a:solidFill>
                <a:srgbClr val="FF0000"/>
              </a:solidFill>
            </a:ln>
          </c:spPr>
          <c:marker>
            <c:symbol val="none"/>
          </c:marker>
          <c:cat>
            <c:numRef>
              <c:f>'Renda Fixa acumulado'!$B$1:$J$1</c:f>
              <c:numCache>
                <c:formatCode>General</c:formatCode>
                <c:ptCount val="9"/>
                <c:pt idx="0">
                  <c:v>2015</c:v>
                </c:pt>
                <c:pt idx="1">
                  <c:v>2016</c:v>
                </c:pt>
                <c:pt idx="2">
                  <c:v>2017</c:v>
                </c:pt>
                <c:pt idx="3">
                  <c:v>2018</c:v>
                </c:pt>
                <c:pt idx="4">
                  <c:v>2019</c:v>
                </c:pt>
                <c:pt idx="5">
                  <c:v>2020</c:v>
                </c:pt>
                <c:pt idx="6">
                  <c:v>2021</c:v>
                </c:pt>
                <c:pt idx="7">
                  <c:v>2022</c:v>
                </c:pt>
                <c:pt idx="8">
                  <c:v>2023</c:v>
                </c:pt>
              </c:numCache>
            </c:numRef>
          </c:cat>
          <c:val>
            <c:numRef>
              <c:f>'Renda Fixa acumulado'!$B$10:$J$10</c:f>
              <c:numCache>
                <c:formatCode>#,##0.00_ ;\-#,##0.00\ </c:formatCode>
                <c:ptCount val="9"/>
                <c:pt idx="0">
                  <c:v>16.670000000000002</c:v>
                </c:pt>
                <c:pt idx="1">
                  <c:v>12.29</c:v>
                </c:pt>
                <c:pt idx="2">
                  <c:v>8.9499999999999993</c:v>
                </c:pt>
                <c:pt idx="3">
                  <c:v>9.75</c:v>
                </c:pt>
                <c:pt idx="4">
                  <c:v>10.31</c:v>
                </c:pt>
                <c:pt idx="5">
                  <c:v>10.52</c:v>
                </c:pt>
                <c:pt idx="6">
                  <c:v>16.059999999999999</c:v>
                </c:pt>
                <c:pt idx="7">
                  <c:v>11.79</c:v>
                </c:pt>
                <c:pt idx="8">
                  <c:v>10.62</c:v>
                </c:pt>
              </c:numCache>
            </c:numRef>
          </c:val>
          <c:smooth val="0"/>
          <c:extLst>
            <c:ext xmlns:c16="http://schemas.microsoft.com/office/drawing/2014/chart" uri="{C3380CC4-5D6E-409C-BE32-E72D297353CC}">
              <c16:uniqueId val="{00000003-C33A-447C-923E-2406329E972B}"/>
            </c:ext>
          </c:extLst>
        </c:ser>
        <c:dLbls>
          <c:showLegendKey val="0"/>
          <c:showVal val="0"/>
          <c:showCatName val="0"/>
          <c:showSerName val="0"/>
          <c:showPercent val="0"/>
          <c:showBubbleSize val="0"/>
        </c:dLbls>
        <c:smooth val="0"/>
        <c:axId val="317058432"/>
        <c:axId val="179717632"/>
      </c:lineChart>
      <c:catAx>
        <c:axId val="317058432"/>
        <c:scaling>
          <c:orientation val="minMax"/>
        </c:scaling>
        <c:delete val="0"/>
        <c:axPos val="b"/>
        <c:title>
          <c:tx>
            <c:rich>
              <a:bodyPr/>
              <a:lstStyle/>
              <a:p>
                <a:pPr>
                  <a:defRPr sz="900"/>
                </a:pPr>
                <a:r>
                  <a:rPr lang="en-US" sz="900"/>
                  <a:t>ANOS</a:t>
                </a:r>
              </a:p>
            </c:rich>
          </c:tx>
          <c:layout>
            <c:manualLayout>
              <c:xMode val="edge"/>
              <c:yMode val="edge"/>
              <c:x val="0.4408997442198706"/>
              <c:y val="0.91987179487179482"/>
            </c:manualLayout>
          </c:layout>
          <c:overlay val="0"/>
        </c:title>
        <c:numFmt formatCode="General" sourceLinked="1"/>
        <c:majorTickMark val="out"/>
        <c:minorTickMark val="none"/>
        <c:tickLblPos val="nextTo"/>
        <c:txPr>
          <a:bodyPr rot="0" vert="horz" anchor="b" anchorCtr="1"/>
          <a:lstStyle/>
          <a:p>
            <a:pPr>
              <a:defRPr sz="800"/>
            </a:pPr>
            <a:endParaRPr lang="pt-BR"/>
          </a:p>
        </c:txPr>
        <c:crossAx val="179717632"/>
        <c:crosses val="autoZero"/>
        <c:auto val="1"/>
        <c:lblAlgn val="ctr"/>
        <c:lblOffset val="100"/>
        <c:noMultiLvlLbl val="0"/>
      </c:catAx>
      <c:valAx>
        <c:axId val="179717632"/>
        <c:scaling>
          <c:orientation val="minMax"/>
        </c:scaling>
        <c:delete val="0"/>
        <c:axPos val="l"/>
        <c:majorGridlines/>
        <c:title>
          <c:tx>
            <c:rich>
              <a:bodyPr rot="-5400000" vert="horz"/>
              <a:lstStyle/>
              <a:p>
                <a:pPr>
                  <a:defRPr sz="900"/>
                </a:pPr>
                <a:r>
                  <a:rPr lang="en-US" sz="900"/>
                  <a:t>Rentabilidade %</a:t>
                </a:r>
              </a:p>
            </c:rich>
          </c:tx>
          <c:layout>
            <c:manualLayout>
              <c:xMode val="edge"/>
              <c:yMode val="edge"/>
              <c:x val="2.0455644958691923E-2"/>
              <c:y val="0.25049006374203225"/>
            </c:manualLayout>
          </c:layout>
          <c:overlay val="0"/>
        </c:title>
        <c:numFmt formatCode="#,##0.00_ ;\-#,##0.00\ " sourceLinked="1"/>
        <c:majorTickMark val="out"/>
        <c:minorTickMark val="none"/>
        <c:tickLblPos val="nextTo"/>
        <c:txPr>
          <a:bodyPr/>
          <a:lstStyle/>
          <a:p>
            <a:pPr>
              <a:defRPr sz="800"/>
            </a:pPr>
            <a:endParaRPr lang="pt-BR"/>
          </a:p>
        </c:txPr>
        <c:crossAx val="317058432"/>
        <c:crosses val="autoZero"/>
        <c:crossBetween val="midCat"/>
      </c:valAx>
    </c:plotArea>
    <c:legend>
      <c:legendPos val="b"/>
      <c:layout>
        <c:manualLayout>
          <c:xMode val="edge"/>
          <c:yMode val="edge"/>
          <c:x val="0.3238068967493713"/>
          <c:y val="0.82443199407766332"/>
          <c:w val="0.27959275791163046"/>
          <c:h val="7.7277407631738335E-2"/>
        </c:manualLayout>
      </c:layout>
      <c:overlay val="0"/>
      <c:txPr>
        <a:bodyPr/>
        <a:lstStyle/>
        <a:p>
          <a:pPr>
            <a:defRPr sz="800"/>
          </a:pPr>
          <a:endParaRPr lang="pt-BR"/>
        </a:p>
      </c:txPr>
    </c:legend>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23853211009174313"/>
          <c:y val="3.3018905949322337E-2"/>
          <c:w val="0.73394495412844041"/>
          <c:h val="0.65094414585806892"/>
        </c:manualLayout>
      </c:layout>
      <c:lineChart>
        <c:grouping val="standard"/>
        <c:varyColors val="0"/>
        <c:ser>
          <c:idx val="0"/>
          <c:order val="0"/>
          <c:tx>
            <c:strRef>
              <c:f>'Renda Fixa 2024'!$A$31</c:f>
              <c:strCache>
                <c:ptCount val="1"/>
                <c:pt idx="0">
                  <c:v>IRF-M</c:v>
                </c:pt>
              </c:strCache>
            </c:strRef>
          </c:tx>
          <c:marker>
            <c:symbol val="none"/>
          </c:marker>
          <c:cat>
            <c:strRef>
              <c:f>'Renda Fixa 2024'!$B$30:$K$30</c:f>
              <c:strCache>
                <c:ptCount val="10"/>
                <c:pt idx="0">
                  <c:v>jan</c:v>
                </c:pt>
                <c:pt idx="1">
                  <c:v>fev</c:v>
                </c:pt>
                <c:pt idx="2">
                  <c:v>mar</c:v>
                </c:pt>
                <c:pt idx="3">
                  <c:v>abr</c:v>
                </c:pt>
                <c:pt idx="4">
                  <c:v>mai</c:v>
                </c:pt>
                <c:pt idx="5">
                  <c:v>jun</c:v>
                </c:pt>
                <c:pt idx="6">
                  <c:v>jul</c:v>
                </c:pt>
                <c:pt idx="7">
                  <c:v>ago</c:v>
                </c:pt>
                <c:pt idx="8">
                  <c:v>set</c:v>
                </c:pt>
                <c:pt idx="9">
                  <c:v>out</c:v>
                </c:pt>
              </c:strCache>
            </c:strRef>
          </c:cat>
          <c:val>
            <c:numRef>
              <c:f>'Renda Fixa 2024'!$B$31:$K$31</c:f>
              <c:numCache>
                <c:formatCode>0.00</c:formatCode>
                <c:ptCount val="10"/>
                <c:pt idx="0">
                  <c:v>0.66639999999999999</c:v>
                </c:pt>
                <c:pt idx="1">
                  <c:v>1.1298681056000071</c:v>
                </c:pt>
                <c:pt idx="2">
                  <c:v>1.6759693933702469</c:v>
                </c:pt>
                <c:pt idx="3">
                  <c:v>1.1472543525247181</c:v>
                </c:pt>
                <c:pt idx="4">
                  <c:v>1.8148262312513763</c:v>
                </c:pt>
                <c:pt idx="5">
                  <c:v>1.5195632351807431</c:v>
                </c:pt>
                <c:pt idx="6">
                  <c:v>2.8799253825321669</c:v>
                </c:pt>
                <c:pt idx="7">
                  <c:v>3.5589328900568651</c:v>
                </c:pt>
                <c:pt idx="8">
                  <c:v>3.9110332618830679</c:v>
                </c:pt>
                <c:pt idx="9">
                  <c:v>4.1292464317330246</c:v>
                </c:pt>
              </c:numCache>
            </c:numRef>
          </c:val>
          <c:smooth val="0"/>
          <c:extLst>
            <c:ext xmlns:c16="http://schemas.microsoft.com/office/drawing/2014/chart" uri="{C3380CC4-5D6E-409C-BE32-E72D297353CC}">
              <c16:uniqueId val="{00000000-1F93-4FB1-9D12-E8D32435106A}"/>
            </c:ext>
          </c:extLst>
        </c:ser>
        <c:ser>
          <c:idx val="1"/>
          <c:order val="1"/>
          <c:tx>
            <c:strRef>
              <c:f>'Renda Fixa 2024'!$A$32</c:f>
              <c:strCache>
                <c:ptCount val="1"/>
                <c:pt idx="0">
                  <c:v>IMA-B</c:v>
                </c:pt>
              </c:strCache>
            </c:strRef>
          </c:tx>
          <c:marker>
            <c:symbol val="none"/>
          </c:marker>
          <c:cat>
            <c:strRef>
              <c:f>'Renda Fixa 2024'!$B$30:$K$30</c:f>
              <c:strCache>
                <c:ptCount val="10"/>
                <c:pt idx="0">
                  <c:v>jan</c:v>
                </c:pt>
                <c:pt idx="1">
                  <c:v>fev</c:v>
                </c:pt>
                <c:pt idx="2">
                  <c:v>mar</c:v>
                </c:pt>
                <c:pt idx="3">
                  <c:v>abr</c:v>
                </c:pt>
                <c:pt idx="4">
                  <c:v>mai</c:v>
                </c:pt>
                <c:pt idx="5">
                  <c:v>jun</c:v>
                </c:pt>
                <c:pt idx="6">
                  <c:v>jul</c:v>
                </c:pt>
                <c:pt idx="7">
                  <c:v>ago</c:v>
                </c:pt>
                <c:pt idx="8">
                  <c:v>set</c:v>
                </c:pt>
                <c:pt idx="9">
                  <c:v>out</c:v>
                </c:pt>
              </c:strCache>
            </c:strRef>
          </c:cat>
          <c:val>
            <c:numRef>
              <c:f>'Renda Fixa 2024'!$B$32:$K$32</c:f>
              <c:numCache>
                <c:formatCode>0.00</c:formatCode>
                <c:ptCount val="10"/>
                <c:pt idx="0">
                  <c:v>-0.44950000000000001</c:v>
                </c:pt>
                <c:pt idx="1">
                  <c:v>9.7629547999988908E-2</c:v>
                </c:pt>
                <c:pt idx="2">
                  <c:v>0.17770765163838131</c:v>
                </c:pt>
                <c:pt idx="3">
                  <c:v>-1.4351534415529943</c:v>
                </c:pt>
                <c:pt idx="4">
                  <c:v>-0.12424098232564074</c:v>
                </c:pt>
                <c:pt idx="5">
                  <c:v>-1.0930358447970856</c:v>
                </c:pt>
                <c:pt idx="6">
                  <c:v>0.97411970604663889</c:v>
                </c:pt>
                <c:pt idx="7">
                  <c:v>1.499185128518099</c:v>
                </c:pt>
                <c:pt idx="8">
                  <c:v>0.81914058815701907</c:v>
                </c:pt>
                <c:pt idx="9">
                  <c:v>0.1638161743340083</c:v>
                </c:pt>
              </c:numCache>
            </c:numRef>
          </c:val>
          <c:smooth val="0"/>
          <c:extLst>
            <c:ext xmlns:c16="http://schemas.microsoft.com/office/drawing/2014/chart" uri="{C3380CC4-5D6E-409C-BE32-E72D297353CC}">
              <c16:uniqueId val="{00000001-1F93-4FB1-9D12-E8D32435106A}"/>
            </c:ext>
          </c:extLst>
        </c:ser>
        <c:ser>
          <c:idx val="4"/>
          <c:order val="2"/>
          <c:tx>
            <c:strRef>
              <c:f>'Renda Fixa 2024'!$A$33</c:f>
              <c:strCache>
                <c:ptCount val="1"/>
                <c:pt idx="0">
                  <c:v>IMA-Geral</c:v>
                </c:pt>
              </c:strCache>
            </c:strRef>
          </c:tx>
          <c:marker>
            <c:symbol val="none"/>
          </c:marker>
          <c:cat>
            <c:strRef>
              <c:f>'Renda Fixa 2024'!$B$30:$K$30</c:f>
              <c:strCache>
                <c:ptCount val="10"/>
                <c:pt idx="0">
                  <c:v>jan</c:v>
                </c:pt>
                <c:pt idx="1">
                  <c:v>fev</c:v>
                </c:pt>
                <c:pt idx="2">
                  <c:v>mar</c:v>
                </c:pt>
                <c:pt idx="3">
                  <c:v>abr</c:v>
                </c:pt>
                <c:pt idx="4">
                  <c:v>mai</c:v>
                </c:pt>
                <c:pt idx="5">
                  <c:v>jun</c:v>
                </c:pt>
                <c:pt idx="6">
                  <c:v>jul</c:v>
                </c:pt>
                <c:pt idx="7">
                  <c:v>ago</c:v>
                </c:pt>
                <c:pt idx="8">
                  <c:v>set</c:v>
                </c:pt>
                <c:pt idx="9">
                  <c:v>out</c:v>
                </c:pt>
              </c:strCache>
            </c:strRef>
          </c:cat>
          <c:val>
            <c:numRef>
              <c:f>'Renda Fixa 2024'!$B$33:$K$33</c:f>
              <c:numCache>
                <c:formatCode>0.00</c:formatCode>
                <c:ptCount val="10"/>
                <c:pt idx="0">
                  <c:v>0.47</c:v>
                </c:pt>
                <c:pt idx="1">
                  <c:v>1.113007999999982</c:v>
                </c:pt>
                <c:pt idx="2">
                  <c:v>1.6387956415999883</c:v>
                </c:pt>
                <c:pt idx="3">
                  <c:v>1.4151902911884617</c:v>
                </c:pt>
                <c:pt idx="4">
                  <c:v>2.3684930799256376</c:v>
                </c:pt>
                <c:pt idx="5">
                  <c:v>2.4196773264655969</c:v>
                </c:pt>
                <c:pt idx="6">
                  <c:v>3.8125849381055454</c:v>
                </c:pt>
                <c:pt idx="7">
                  <c:v>4.6327043591165795</c:v>
                </c:pt>
                <c:pt idx="8">
                  <c:v>4.9884555539375874</c:v>
                </c:pt>
                <c:pt idx="9">
                  <c:v>5.3874116850425535</c:v>
                </c:pt>
              </c:numCache>
            </c:numRef>
          </c:val>
          <c:smooth val="0"/>
          <c:extLst>
            <c:ext xmlns:c16="http://schemas.microsoft.com/office/drawing/2014/chart" uri="{C3380CC4-5D6E-409C-BE32-E72D297353CC}">
              <c16:uniqueId val="{00000002-1F93-4FB1-9D12-E8D32435106A}"/>
            </c:ext>
          </c:extLst>
        </c:ser>
        <c:ser>
          <c:idx val="5"/>
          <c:order val="3"/>
          <c:tx>
            <c:strRef>
              <c:f>'Renda Fixa 2024'!$A$34</c:f>
              <c:strCache>
                <c:ptCount val="1"/>
                <c:pt idx="0">
                  <c:v>CDI</c:v>
                </c:pt>
              </c:strCache>
            </c:strRef>
          </c:tx>
          <c:marker>
            <c:symbol val="none"/>
          </c:marker>
          <c:cat>
            <c:strRef>
              <c:f>'Renda Fixa 2024'!$B$30:$K$30</c:f>
              <c:strCache>
                <c:ptCount val="10"/>
                <c:pt idx="0">
                  <c:v>jan</c:v>
                </c:pt>
                <c:pt idx="1">
                  <c:v>fev</c:v>
                </c:pt>
                <c:pt idx="2">
                  <c:v>mar</c:v>
                </c:pt>
                <c:pt idx="3">
                  <c:v>abr</c:v>
                </c:pt>
                <c:pt idx="4">
                  <c:v>mai</c:v>
                </c:pt>
                <c:pt idx="5">
                  <c:v>jun</c:v>
                </c:pt>
                <c:pt idx="6">
                  <c:v>jul</c:v>
                </c:pt>
                <c:pt idx="7">
                  <c:v>ago</c:v>
                </c:pt>
                <c:pt idx="8">
                  <c:v>set</c:v>
                </c:pt>
                <c:pt idx="9">
                  <c:v>out</c:v>
                </c:pt>
              </c:strCache>
            </c:strRef>
          </c:cat>
          <c:val>
            <c:numRef>
              <c:f>'Renda Fixa 2024'!$B$34:$K$34</c:f>
              <c:numCache>
                <c:formatCode>0.00</c:formatCode>
                <c:ptCount val="10"/>
                <c:pt idx="0">
                  <c:v>0.97</c:v>
                </c:pt>
                <c:pt idx="1">
                  <c:v>1.777760000000006</c:v>
                </c:pt>
                <c:pt idx="2">
                  <c:v>2.6225154080000035</c:v>
                </c:pt>
                <c:pt idx="3">
                  <c:v>3.5358557951312042</c:v>
                </c:pt>
                <c:pt idx="4">
                  <c:v>4.3952033982307848</c:v>
                </c:pt>
                <c:pt idx="5">
                  <c:v>5.2199255050768167</c:v>
                </c:pt>
                <c:pt idx="6">
                  <c:v>6.1774268271730381</c:v>
                </c:pt>
                <c:pt idx="7">
                  <c:v>7.1011704405694376</c:v>
                </c:pt>
                <c:pt idx="8">
                  <c:v>8.0008202722702251</c:v>
                </c:pt>
                <c:pt idx="9">
                  <c:v>9.0052279008023373</c:v>
                </c:pt>
              </c:numCache>
            </c:numRef>
          </c:val>
          <c:smooth val="0"/>
          <c:extLst>
            <c:ext xmlns:c16="http://schemas.microsoft.com/office/drawing/2014/chart" uri="{C3380CC4-5D6E-409C-BE32-E72D297353CC}">
              <c16:uniqueId val="{00000003-1F93-4FB1-9D12-E8D32435106A}"/>
            </c:ext>
          </c:extLst>
        </c:ser>
        <c:ser>
          <c:idx val="6"/>
          <c:order val="4"/>
          <c:tx>
            <c:strRef>
              <c:f>'Renda Fixa 2024'!$A$35</c:f>
              <c:strCache>
                <c:ptCount val="1"/>
                <c:pt idx="0">
                  <c:v>IPCA +6% a.a.</c:v>
                </c:pt>
              </c:strCache>
            </c:strRef>
          </c:tx>
          <c:spPr>
            <a:ln w="28575">
              <a:solidFill>
                <a:schemeClr val="tx1"/>
              </a:solidFill>
              <a:prstDash val="dash"/>
            </a:ln>
          </c:spPr>
          <c:marker>
            <c:symbol val="none"/>
          </c:marker>
          <c:cat>
            <c:strRef>
              <c:f>'Renda Fixa 2024'!$B$30:$K$30</c:f>
              <c:strCache>
                <c:ptCount val="10"/>
                <c:pt idx="0">
                  <c:v>jan</c:v>
                </c:pt>
                <c:pt idx="1">
                  <c:v>fev</c:v>
                </c:pt>
                <c:pt idx="2">
                  <c:v>mar</c:v>
                </c:pt>
                <c:pt idx="3">
                  <c:v>abr</c:v>
                </c:pt>
                <c:pt idx="4">
                  <c:v>mai</c:v>
                </c:pt>
                <c:pt idx="5">
                  <c:v>jun</c:v>
                </c:pt>
                <c:pt idx="6">
                  <c:v>jul</c:v>
                </c:pt>
                <c:pt idx="7">
                  <c:v>ago</c:v>
                </c:pt>
                <c:pt idx="8">
                  <c:v>set</c:v>
                </c:pt>
                <c:pt idx="9">
                  <c:v>out</c:v>
                </c:pt>
              </c:strCache>
            </c:strRef>
          </c:cat>
          <c:val>
            <c:numRef>
              <c:f>'Renda Fixa 2024'!$B$35:$K$35</c:f>
              <c:numCache>
                <c:formatCode>0.00</c:formatCode>
                <c:ptCount val="10"/>
                <c:pt idx="0">
                  <c:v>0.90879937099999086</c:v>
                </c:pt>
                <c:pt idx="1">
                  <c:v>2.2415978147565241</c:v>
                </c:pt>
                <c:pt idx="2">
                  <c:v>2.9036467264464516</c:v>
                </c:pt>
                <c:pt idx="3">
                  <c:v>3.7974726064836206</c:v>
                </c:pt>
                <c:pt idx="4">
                  <c:v>4.7825044694429497</c:v>
                </c:pt>
                <c:pt idx="5">
                  <c:v>5.5136528800262097</c:v>
                </c:pt>
                <c:pt idx="6">
                  <c:v>6.4301493953745625</c:v>
                </c:pt>
                <c:pt idx="7">
                  <c:v>6.926813828370193</c:v>
                </c:pt>
                <c:pt idx="8">
                  <c:v>7.9200534969609437</c:v>
                </c:pt>
                <c:pt idx="9">
                  <c:v>9.0309646960282208</c:v>
                </c:pt>
              </c:numCache>
            </c:numRef>
          </c:val>
          <c:smooth val="0"/>
          <c:extLst>
            <c:ext xmlns:c16="http://schemas.microsoft.com/office/drawing/2014/chart" uri="{C3380CC4-5D6E-409C-BE32-E72D297353CC}">
              <c16:uniqueId val="{00000004-1F93-4FB1-9D12-E8D32435106A}"/>
            </c:ext>
          </c:extLst>
        </c:ser>
        <c:dLbls>
          <c:showLegendKey val="0"/>
          <c:showVal val="0"/>
          <c:showCatName val="0"/>
          <c:showSerName val="0"/>
          <c:showPercent val="0"/>
          <c:showBubbleSize val="0"/>
        </c:dLbls>
        <c:smooth val="0"/>
        <c:axId val="240517888"/>
        <c:axId val="240519424"/>
      </c:lineChart>
      <c:catAx>
        <c:axId val="240517888"/>
        <c:scaling>
          <c:orientation val="minMax"/>
        </c:scaling>
        <c:delete val="0"/>
        <c:axPos val="b"/>
        <c:numFmt formatCode="General" sourceLinked="0"/>
        <c:majorTickMark val="out"/>
        <c:minorTickMark val="none"/>
        <c:tickLblPos val="nextTo"/>
        <c:crossAx val="240519424"/>
        <c:crosses val="autoZero"/>
        <c:auto val="1"/>
        <c:lblAlgn val="ctr"/>
        <c:lblOffset val="100"/>
        <c:noMultiLvlLbl val="0"/>
      </c:catAx>
      <c:valAx>
        <c:axId val="240519424"/>
        <c:scaling>
          <c:orientation val="minMax"/>
        </c:scaling>
        <c:delete val="0"/>
        <c:axPos val="l"/>
        <c:majorGridlines/>
        <c:title>
          <c:tx>
            <c:rich>
              <a:bodyPr rot="-5400000" vert="horz"/>
              <a:lstStyle/>
              <a:p>
                <a:pPr>
                  <a:defRPr sz="1000"/>
                </a:pPr>
                <a:r>
                  <a:rPr lang="en-US" sz="1000"/>
                  <a:t>Taxa Acumulada no Ano (%)</a:t>
                </a:r>
              </a:p>
            </c:rich>
          </c:tx>
          <c:layout>
            <c:manualLayout>
              <c:xMode val="edge"/>
              <c:yMode val="edge"/>
              <c:x val="3.7989545396758924E-2"/>
              <c:y val="0.14453772183032434"/>
            </c:manualLayout>
          </c:layout>
          <c:overlay val="0"/>
        </c:title>
        <c:numFmt formatCode="0.00" sourceLinked="1"/>
        <c:majorTickMark val="out"/>
        <c:minorTickMark val="none"/>
        <c:tickLblPos val="nextTo"/>
        <c:txPr>
          <a:bodyPr/>
          <a:lstStyle/>
          <a:p>
            <a:pPr>
              <a:defRPr sz="800"/>
            </a:pPr>
            <a:endParaRPr lang="pt-BR"/>
          </a:p>
        </c:txPr>
        <c:crossAx val="240517888"/>
        <c:crosses val="autoZero"/>
        <c:crossBetween val="between"/>
      </c:valAx>
      <c:dTable>
        <c:showHorzBorder val="1"/>
        <c:showVertBorder val="1"/>
        <c:showOutline val="1"/>
        <c:showKeys val="1"/>
        <c:txPr>
          <a:bodyPr/>
          <a:lstStyle/>
          <a:p>
            <a:pPr rtl="0">
              <a:defRPr sz="800"/>
            </a:pPr>
            <a:endParaRPr lang="pt-BR"/>
          </a:p>
        </c:txPr>
      </c:dTable>
    </c:plotArea>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23486238532110093"/>
          <c:y val="2.3584932820944527E-2"/>
          <c:w val="0.73027522935779821"/>
          <c:h val="0.70283099806414684"/>
        </c:manualLayout>
      </c:layout>
      <c:lineChart>
        <c:grouping val="standard"/>
        <c:varyColors val="0"/>
        <c:ser>
          <c:idx val="0"/>
          <c:order val="0"/>
          <c:tx>
            <c:strRef>
              <c:f>'Renda Fixa 2024'!$A$94</c:f>
              <c:strCache>
                <c:ptCount val="1"/>
                <c:pt idx="0">
                  <c:v>IRF-M1+</c:v>
                </c:pt>
              </c:strCache>
            </c:strRef>
          </c:tx>
          <c:marker>
            <c:symbol val="none"/>
          </c:marker>
          <c:cat>
            <c:strRef>
              <c:f>'Renda Fixa 2024'!$B$61:$K$61</c:f>
              <c:strCache>
                <c:ptCount val="10"/>
                <c:pt idx="0">
                  <c:v>jan</c:v>
                </c:pt>
                <c:pt idx="1">
                  <c:v>fev</c:v>
                </c:pt>
                <c:pt idx="2">
                  <c:v>mar</c:v>
                </c:pt>
                <c:pt idx="3">
                  <c:v>abr</c:v>
                </c:pt>
                <c:pt idx="4">
                  <c:v>mai</c:v>
                </c:pt>
                <c:pt idx="5">
                  <c:v>jun</c:v>
                </c:pt>
                <c:pt idx="6">
                  <c:v>jul</c:v>
                </c:pt>
                <c:pt idx="7">
                  <c:v>ago</c:v>
                </c:pt>
                <c:pt idx="8">
                  <c:v>set</c:v>
                </c:pt>
                <c:pt idx="9">
                  <c:v>out</c:v>
                </c:pt>
              </c:strCache>
            </c:strRef>
          </c:cat>
          <c:val>
            <c:numRef>
              <c:f>'Renda Fixa 2024'!$B$94:$K$94</c:f>
              <c:numCache>
                <c:formatCode>0.00</c:formatCode>
                <c:ptCount val="10"/>
                <c:pt idx="0">
                  <c:v>0.59660000000000002</c:v>
                </c:pt>
                <c:pt idx="1">
                  <c:v>0.93923201960000036</c:v>
                </c:pt>
                <c:pt idx="2">
                  <c:v>1.3694350264675359</c:v>
                </c:pt>
                <c:pt idx="3">
                  <c:v>0.33546678919755824</c:v>
                </c:pt>
                <c:pt idx="4">
                  <c:v>0.93747958993275482</c:v>
                </c:pt>
                <c:pt idx="5">
                  <c:v>0.21072973688525121</c:v>
                </c:pt>
                <c:pt idx="6">
                  <c:v>1.7639960478069705</c:v>
                </c:pt>
                <c:pt idx="7">
                  <c:v>2.3745800240938086</c:v>
                </c:pt>
                <c:pt idx="8">
                  <c:v>2.4871920621203136</c:v>
                </c:pt>
                <c:pt idx="9">
                  <c:v>2.3437099932333449</c:v>
                </c:pt>
              </c:numCache>
            </c:numRef>
          </c:val>
          <c:smooth val="0"/>
          <c:extLst>
            <c:ext xmlns:c16="http://schemas.microsoft.com/office/drawing/2014/chart" uri="{C3380CC4-5D6E-409C-BE32-E72D297353CC}">
              <c16:uniqueId val="{00000000-6A69-4F3E-8039-DB907CFF7A39}"/>
            </c:ext>
          </c:extLst>
        </c:ser>
        <c:ser>
          <c:idx val="1"/>
          <c:order val="1"/>
          <c:tx>
            <c:strRef>
              <c:f>'Renda Fixa 2024'!$A$95</c:f>
              <c:strCache>
                <c:ptCount val="1"/>
                <c:pt idx="0">
                  <c:v>IMA-B5+</c:v>
                </c:pt>
              </c:strCache>
            </c:strRef>
          </c:tx>
          <c:marker>
            <c:symbol val="none"/>
          </c:marker>
          <c:cat>
            <c:strRef>
              <c:f>'Renda Fixa 2024'!$B$61:$K$61</c:f>
              <c:strCache>
                <c:ptCount val="10"/>
                <c:pt idx="0">
                  <c:v>jan</c:v>
                </c:pt>
                <c:pt idx="1">
                  <c:v>fev</c:v>
                </c:pt>
                <c:pt idx="2">
                  <c:v>mar</c:v>
                </c:pt>
                <c:pt idx="3">
                  <c:v>abr</c:v>
                </c:pt>
                <c:pt idx="4">
                  <c:v>mai</c:v>
                </c:pt>
                <c:pt idx="5">
                  <c:v>jun</c:v>
                </c:pt>
                <c:pt idx="6">
                  <c:v>jul</c:v>
                </c:pt>
                <c:pt idx="7">
                  <c:v>ago</c:v>
                </c:pt>
                <c:pt idx="8">
                  <c:v>set</c:v>
                </c:pt>
                <c:pt idx="9">
                  <c:v>out</c:v>
                </c:pt>
              </c:strCache>
            </c:strRef>
          </c:cat>
          <c:val>
            <c:numRef>
              <c:f>'Renda Fixa 2024'!$B$95:$K$95</c:f>
              <c:numCache>
                <c:formatCode>0.00</c:formatCode>
                <c:ptCount val="10"/>
                <c:pt idx="0">
                  <c:v>-1.4670000000000001</c:v>
                </c:pt>
                <c:pt idx="1">
                  <c:v>-0.96300370499999843</c:v>
                </c:pt>
                <c:pt idx="2">
                  <c:v>-1.5077071846224976</c:v>
                </c:pt>
                <c:pt idx="3">
                  <c:v>-4.3738329055499792</c:v>
                </c:pt>
                <c:pt idx="4">
                  <c:v>-2.8533768487482236</c:v>
                </c:pt>
                <c:pt idx="5">
                  <c:v>-5.0391758696513804</c:v>
                </c:pt>
                <c:pt idx="6">
                  <c:v>-1.9624451678280863</c:v>
                </c:pt>
                <c:pt idx="7">
                  <c:v>-1.2075559956203574</c:v>
                </c:pt>
                <c:pt idx="8">
                  <c:v>-2.6104087004825471</c:v>
                </c:pt>
                <c:pt idx="9">
                  <c:v>-4.2270759160545346</c:v>
                </c:pt>
              </c:numCache>
            </c:numRef>
          </c:val>
          <c:smooth val="0"/>
          <c:extLst>
            <c:ext xmlns:c16="http://schemas.microsoft.com/office/drawing/2014/chart" uri="{C3380CC4-5D6E-409C-BE32-E72D297353CC}">
              <c16:uniqueId val="{00000001-6A69-4F3E-8039-DB907CFF7A39}"/>
            </c:ext>
          </c:extLst>
        </c:ser>
        <c:ser>
          <c:idx val="6"/>
          <c:order val="2"/>
          <c:tx>
            <c:strRef>
              <c:f>'Renda Fixa 2024'!$A$96</c:f>
              <c:strCache>
                <c:ptCount val="1"/>
                <c:pt idx="0">
                  <c:v>IPCA +6% a.a.</c:v>
                </c:pt>
              </c:strCache>
            </c:strRef>
          </c:tx>
          <c:spPr>
            <a:ln>
              <a:solidFill>
                <a:schemeClr val="tx1"/>
              </a:solidFill>
              <a:prstDash val="dash"/>
            </a:ln>
          </c:spPr>
          <c:marker>
            <c:symbol val="none"/>
          </c:marker>
          <c:cat>
            <c:strRef>
              <c:f>'Renda Fixa 2024'!$B$61:$K$61</c:f>
              <c:strCache>
                <c:ptCount val="10"/>
                <c:pt idx="0">
                  <c:v>jan</c:v>
                </c:pt>
                <c:pt idx="1">
                  <c:v>fev</c:v>
                </c:pt>
                <c:pt idx="2">
                  <c:v>mar</c:v>
                </c:pt>
                <c:pt idx="3">
                  <c:v>abr</c:v>
                </c:pt>
                <c:pt idx="4">
                  <c:v>mai</c:v>
                </c:pt>
                <c:pt idx="5">
                  <c:v>jun</c:v>
                </c:pt>
                <c:pt idx="6">
                  <c:v>jul</c:v>
                </c:pt>
                <c:pt idx="7">
                  <c:v>ago</c:v>
                </c:pt>
                <c:pt idx="8">
                  <c:v>set</c:v>
                </c:pt>
                <c:pt idx="9">
                  <c:v>out</c:v>
                </c:pt>
              </c:strCache>
            </c:strRef>
          </c:cat>
          <c:val>
            <c:numRef>
              <c:f>'Renda Fixa 2024'!$B$96:$K$96</c:f>
              <c:numCache>
                <c:formatCode>0.00</c:formatCode>
                <c:ptCount val="10"/>
                <c:pt idx="0">
                  <c:v>0.90879937099999086</c:v>
                </c:pt>
                <c:pt idx="1">
                  <c:v>2.2415978147565241</c:v>
                </c:pt>
                <c:pt idx="2">
                  <c:v>2.9036467264464516</c:v>
                </c:pt>
                <c:pt idx="3">
                  <c:v>3.7974726064836206</c:v>
                </c:pt>
                <c:pt idx="4">
                  <c:v>4.7825044694429497</c:v>
                </c:pt>
                <c:pt idx="5">
                  <c:v>5.5136528800262097</c:v>
                </c:pt>
                <c:pt idx="6">
                  <c:v>6.4301493953745625</c:v>
                </c:pt>
                <c:pt idx="7">
                  <c:v>6.926813828370193</c:v>
                </c:pt>
                <c:pt idx="8">
                  <c:v>7.9200534969609437</c:v>
                </c:pt>
                <c:pt idx="9">
                  <c:v>9.0309646960282208</c:v>
                </c:pt>
              </c:numCache>
            </c:numRef>
          </c:val>
          <c:smooth val="0"/>
          <c:extLst>
            <c:ext xmlns:c16="http://schemas.microsoft.com/office/drawing/2014/chart" uri="{C3380CC4-5D6E-409C-BE32-E72D297353CC}">
              <c16:uniqueId val="{00000002-6A69-4F3E-8039-DB907CFF7A39}"/>
            </c:ext>
          </c:extLst>
        </c:ser>
        <c:dLbls>
          <c:showLegendKey val="0"/>
          <c:showVal val="0"/>
          <c:showCatName val="0"/>
          <c:showSerName val="0"/>
          <c:showPercent val="0"/>
          <c:showBubbleSize val="0"/>
        </c:dLbls>
        <c:smooth val="0"/>
        <c:axId val="240546944"/>
        <c:axId val="240548480"/>
      </c:lineChart>
      <c:catAx>
        <c:axId val="240546944"/>
        <c:scaling>
          <c:orientation val="minMax"/>
        </c:scaling>
        <c:delete val="0"/>
        <c:axPos val="b"/>
        <c:numFmt formatCode="General" sourceLinked="0"/>
        <c:majorTickMark val="out"/>
        <c:minorTickMark val="none"/>
        <c:tickLblPos val="nextTo"/>
        <c:crossAx val="240548480"/>
        <c:crosses val="autoZero"/>
        <c:auto val="1"/>
        <c:lblAlgn val="ctr"/>
        <c:lblOffset val="100"/>
        <c:noMultiLvlLbl val="0"/>
      </c:catAx>
      <c:valAx>
        <c:axId val="240548480"/>
        <c:scaling>
          <c:orientation val="minMax"/>
        </c:scaling>
        <c:delete val="0"/>
        <c:axPos val="l"/>
        <c:majorGridlines/>
        <c:title>
          <c:tx>
            <c:rich>
              <a:bodyPr rot="-5400000" vert="horz"/>
              <a:lstStyle/>
              <a:p>
                <a:pPr>
                  <a:defRPr sz="900"/>
                </a:pPr>
                <a:r>
                  <a:rPr lang="en-US" sz="900"/>
                  <a:t>Taxa Acumulada no Ano (%)</a:t>
                </a:r>
              </a:p>
            </c:rich>
          </c:tx>
          <c:layout>
            <c:manualLayout>
              <c:xMode val="edge"/>
              <c:yMode val="edge"/>
              <c:x val="7.329495793465915E-2"/>
              <c:y val="0.15095038729914859"/>
            </c:manualLayout>
          </c:layout>
          <c:overlay val="0"/>
        </c:title>
        <c:numFmt formatCode="0.00" sourceLinked="1"/>
        <c:majorTickMark val="out"/>
        <c:minorTickMark val="none"/>
        <c:tickLblPos val="nextTo"/>
        <c:txPr>
          <a:bodyPr/>
          <a:lstStyle/>
          <a:p>
            <a:pPr>
              <a:defRPr sz="800"/>
            </a:pPr>
            <a:endParaRPr lang="pt-BR"/>
          </a:p>
        </c:txPr>
        <c:crossAx val="240546944"/>
        <c:crosses val="autoZero"/>
        <c:crossBetween val="between"/>
      </c:valAx>
      <c:dTable>
        <c:showHorzBorder val="1"/>
        <c:showVertBorder val="1"/>
        <c:showOutline val="1"/>
        <c:showKeys val="1"/>
        <c:txPr>
          <a:bodyPr/>
          <a:lstStyle/>
          <a:p>
            <a:pPr rtl="0">
              <a:defRPr sz="800"/>
            </a:pPr>
            <a:endParaRPr lang="pt-BR"/>
          </a:p>
        </c:txPr>
      </c:dTable>
    </c:plotArea>
    <c:plotVisOnly val="1"/>
    <c:dispBlanksAs val="gap"/>
    <c:showDLblsOverMax val="0"/>
  </c:chart>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23914513439797994"/>
          <c:y val="3.0660521093399909E-2"/>
          <c:w val="0.73761467889908261"/>
          <c:h val="0.70518949134624132"/>
        </c:manualLayout>
      </c:layout>
      <c:lineChart>
        <c:grouping val="standard"/>
        <c:varyColors val="0"/>
        <c:ser>
          <c:idx val="0"/>
          <c:order val="0"/>
          <c:tx>
            <c:strRef>
              <c:f>'Renda Fixa 2024'!$A$62</c:f>
              <c:strCache>
                <c:ptCount val="1"/>
                <c:pt idx="0">
                  <c:v>IRF-M1</c:v>
                </c:pt>
              </c:strCache>
            </c:strRef>
          </c:tx>
          <c:marker>
            <c:symbol val="none"/>
          </c:marker>
          <c:cat>
            <c:strRef>
              <c:f>'Renda Fixa 2024'!$B$61:$K$61</c:f>
              <c:strCache>
                <c:ptCount val="10"/>
                <c:pt idx="0">
                  <c:v>jan</c:v>
                </c:pt>
                <c:pt idx="1">
                  <c:v>fev</c:v>
                </c:pt>
                <c:pt idx="2">
                  <c:v>mar</c:v>
                </c:pt>
                <c:pt idx="3">
                  <c:v>abr</c:v>
                </c:pt>
                <c:pt idx="4">
                  <c:v>mai</c:v>
                </c:pt>
                <c:pt idx="5">
                  <c:v>jun</c:v>
                </c:pt>
                <c:pt idx="6">
                  <c:v>jul</c:v>
                </c:pt>
                <c:pt idx="7">
                  <c:v>ago</c:v>
                </c:pt>
                <c:pt idx="8">
                  <c:v>set</c:v>
                </c:pt>
                <c:pt idx="9">
                  <c:v>out</c:v>
                </c:pt>
              </c:strCache>
            </c:strRef>
          </c:cat>
          <c:val>
            <c:numRef>
              <c:f>'Renda Fixa 2024'!$B$62:$K$62</c:f>
              <c:numCache>
                <c:formatCode>0.00</c:formatCode>
                <c:ptCount val="10"/>
                <c:pt idx="0">
                  <c:v>0.83430000000000004</c:v>
                </c:pt>
                <c:pt idx="1">
                  <c:v>1.6056823949999854</c:v>
                </c:pt>
                <c:pt idx="2">
                  <c:v>2.4589669157531802</c:v>
                </c:pt>
                <c:pt idx="3">
                  <c:v>3.0532289238645482</c:v>
                </c:pt>
                <c:pt idx="4">
                  <c:v>3.8570441094706975</c:v>
                </c:pt>
                <c:pt idx="5">
                  <c:v>4.5113434873603531</c:v>
                </c:pt>
                <c:pt idx="6">
                  <c:v>5.4937501161415492</c:v>
                </c:pt>
                <c:pt idx="7">
                  <c:v>6.3060519920358438</c:v>
                </c:pt>
                <c:pt idx="8">
                  <c:v>7.1777616183705373</c:v>
                </c:pt>
                <c:pt idx="9">
                  <c:v>8.0780548159648404</c:v>
                </c:pt>
              </c:numCache>
            </c:numRef>
          </c:val>
          <c:smooth val="0"/>
          <c:extLst>
            <c:ext xmlns:c16="http://schemas.microsoft.com/office/drawing/2014/chart" uri="{C3380CC4-5D6E-409C-BE32-E72D297353CC}">
              <c16:uniqueId val="{00000000-E05F-4D53-8560-FEC6E215D675}"/>
            </c:ext>
          </c:extLst>
        </c:ser>
        <c:ser>
          <c:idx val="1"/>
          <c:order val="1"/>
          <c:tx>
            <c:strRef>
              <c:f>'Renda Fixa 2024'!$A$63</c:f>
              <c:strCache>
                <c:ptCount val="1"/>
                <c:pt idx="0">
                  <c:v>IMA-B5</c:v>
                </c:pt>
              </c:strCache>
            </c:strRef>
          </c:tx>
          <c:marker>
            <c:symbol val="none"/>
          </c:marker>
          <c:cat>
            <c:strRef>
              <c:f>'Renda Fixa 2024'!$B$61:$K$61</c:f>
              <c:strCache>
                <c:ptCount val="10"/>
                <c:pt idx="0">
                  <c:v>jan</c:v>
                </c:pt>
                <c:pt idx="1">
                  <c:v>fev</c:v>
                </c:pt>
                <c:pt idx="2">
                  <c:v>mar</c:v>
                </c:pt>
                <c:pt idx="3">
                  <c:v>abr</c:v>
                </c:pt>
                <c:pt idx="4">
                  <c:v>mai</c:v>
                </c:pt>
                <c:pt idx="5">
                  <c:v>jun</c:v>
                </c:pt>
                <c:pt idx="6">
                  <c:v>jul</c:v>
                </c:pt>
                <c:pt idx="7">
                  <c:v>ago</c:v>
                </c:pt>
                <c:pt idx="8">
                  <c:v>set</c:v>
                </c:pt>
                <c:pt idx="9">
                  <c:v>out</c:v>
                </c:pt>
              </c:strCache>
            </c:strRef>
          </c:cat>
          <c:val>
            <c:numRef>
              <c:f>'Renda Fixa 2024'!$B$63:$K$63</c:f>
              <c:numCache>
                <c:formatCode>0.00</c:formatCode>
                <c:ptCount val="10"/>
                <c:pt idx="0">
                  <c:v>0.67849999999999999</c:v>
                </c:pt>
                <c:pt idx="1">
                  <c:v>1.2758255405000085</c:v>
                </c:pt>
                <c:pt idx="2">
                  <c:v>2.0556493971618517</c:v>
                </c:pt>
                <c:pt idx="3">
                  <c:v>1.8515380983675334</c:v>
                </c:pt>
                <c:pt idx="4">
                  <c:v>2.9209792484003794</c:v>
                </c:pt>
                <c:pt idx="5">
                  <c:v>3.322371067469132</c:v>
                </c:pt>
                <c:pt idx="6">
                  <c:v>4.26260464418311</c:v>
                </c:pt>
                <c:pt idx="7">
                  <c:v>4.8777540115837903</c:v>
                </c:pt>
                <c:pt idx="8">
                  <c:v>5.297265027630127</c:v>
                </c:pt>
                <c:pt idx="9">
                  <c:v>6.0764647888345902</c:v>
                </c:pt>
              </c:numCache>
            </c:numRef>
          </c:val>
          <c:smooth val="0"/>
          <c:extLst>
            <c:ext xmlns:c16="http://schemas.microsoft.com/office/drawing/2014/chart" uri="{C3380CC4-5D6E-409C-BE32-E72D297353CC}">
              <c16:uniqueId val="{00000001-E05F-4D53-8560-FEC6E215D675}"/>
            </c:ext>
          </c:extLst>
        </c:ser>
        <c:ser>
          <c:idx val="2"/>
          <c:order val="2"/>
          <c:tx>
            <c:strRef>
              <c:f>'Renda Fixa 2024'!$A$64</c:f>
              <c:strCache>
                <c:ptCount val="1"/>
                <c:pt idx="0">
                  <c:v>IMA-S</c:v>
                </c:pt>
              </c:strCache>
            </c:strRef>
          </c:tx>
          <c:marker>
            <c:symbol val="none"/>
          </c:marker>
          <c:cat>
            <c:strRef>
              <c:f>'Renda Fixa 2024'!$B$61:$K$61</c:f>
              <c:strCache>
                <c:ptCount val="10"/>
                <c:pt idx="0">
                  <c:v>jan</c:v>
                </c:pt>
                <c:pt idx="1">
                  <c:v>fev</c:v>
                </c:pt>
                <c:pt idx="2">
                  <c:v>mar</c:v>
                </c:pt>
                <c:pt idx="3">
                  <c:v>abr</c:v>
                </c:pt>
                <c:pt idx="4">
                  <c:v>mai</c:v>
                </c:pt>
                <c:pt idx="5">
                  <c:v>jun</c:v>
                </c:pt>
                <c:pt idx="6">
                  <c:v>jul</c:v>
                </c:pt>
                <c:pt idx="7">
                  <c:v>ago</c:v>
                </c:pt>
                <c:pt idx="8">
                  <c:v>set</c:v>
                </c:pt>
                <c:pt idx="9">
                  <c:v>out</c:v>
                </c:pt>
              </c:strCache>
            </c:strRef>
          </c:cat>
          <c:val>
            <c:numRef>
              <c:f>'Renda Fixa 2024'!$B$64:$K$64</c:f>
              <c:numCache>
                <c:formatCode>0.00</c:formatCode>
                <c:ptCount val="10"/>
                <c:pt idx="0">
                  <c:v>0.98550000000000004</c:v>
                </c:pt>
                <c:pt idx="1">
                  <c:v>1.8135810999999835</c:v>
                </c:pt>
                <c:pt idx="2">
                  <c:v>2.6891778974599712</c:v>
                </c:pt>
                <c:pt idx="3">
                  <c:v>3.6133804985370999</c:v>
                </c:pt>
                <c:pt idx="4">
                  <c:v>4.4733715566749543</c:v>
                </c:pt>
                <c:pt idx="5">
                  <c:v>5.3196058662840162</c:v>
                </c:pt>
                <c:pt idx="6">
                  <c:v>6.3096101614271038</c:v>
                </c:pt>
                <c:pt idx="7">
                  <c:v>7.2663966528799362</c:v>
                </c:pt>
                <c:pt idx="8">
                  <c:v>8.1996143037599936</c:v>
                </c:pt>
                <c:pt idx="9">
                  <c:v>9.2599705239368557</c:v>
                </c:pt>
              </c:numCache>
            </c:numRef>
          </c:val>
          <c:smooth val="0"/>
          <c:extLst>
            <c:ext xmlns:c16="http://schemas.microsoft.com/office/drawing/2014/chart" uri="{C3380CC4-5D6E-409C-BE32-E72D297353CC}">
              <c16:uniqueId val="{00000002-E05F-4D53-8560-FEC6E215D675}"/>
            </c:ext>
          </c:extLst>
        </c:ser>
        <c:ser>
          <c:idx val="3"/>
          <c:order val="3"/>
          <c:tx>
            <c:strRef>
              <c:f>'Renda Fixa 2024'!$A$66</c:f>
              <c:strCache>
                <c:ptCount val="1"/>
                <c:pt idx="0">
                  <c:v>IPCA +6% a.a.</c:v>
                </c:pt>
              </c:strCache>
            </c:strRef>
          </c:tx>
          <c:spPr>
            <a:ln>
              <a:solidFill>
                <a:schemeClr val="tx1"/>
              </a:solidFill>
              <a:prstDash val="dash"/>
            </a:ln>
          </c:spPr>
          <c:marker>
            <c:symbol val="none"/>
          </c:marker>
          <c:cat>
            <c:strRef>
              <c:f>'Renda Fixa 2024'!$B$61:$K$61</c:f>
              <c:strCache>
                <c:ptCount val="10"/>
                <c:pt idx="0">
                  <c:v>jan</c:v>
                </c:pt>
                <c:pt idx="1">
                  <c:v>fev</c:v>
                </c:pt>
                <c:pt idx="2">
                  <c:v>mar</c:v>
                </c:pt>
                <c:pt idx="3">
                  <c:v>abr</c:v>
                </c:pt>
                <c:pt idx="4">
                  <c:v>mai</c:v>
                </c:pt>
                <c:pt idx="5">
                  <c:v>jun</c:v>
                </c:pt>
                <c:pt idx="6">
                  <c:v>jul</c:v>
                </c:pt>
                <c:pt idx="7">
                  <c:v>ago</c:v>
                </c:pt>
                <c:pt idx="8">
                  <c:v>set</c:v>
                </c:pt>
                <c:pt idx="9">
                  <c:v>out</c:v>
                </c:pt>
              </c:strCache>
            </c:strRef>
          </c:cat>
          <c:val>
            <c:numRef>
              <c:f>'Renda Fixa 2024'!$B$66:$K$66</c:f>
              <c:numCache>
                <c:formatCode>0.00</c:formatCode>
                <c:ptCount val="10"/>
                <c:pt idx="0">
                  <c:v>0.90879937099999086</c:v>
                </c:pt>
                <c:pt idx="1">
                  <c:v>2.2415978147565241</c:v>
                </c:pt>
                <c:pt idx="2">
                  <c:v>2.9036467264464516</c:v>
                </c:pt>
                <c:pt idx="3">
                  <c:v>3.7974726064836206</c:v>
                </c:pt>
                <c:pt idx="4">
                  <c:v>4.7825044694429497</c:v>
                </c:pt>
                <c:pt idx="5">
                  <c:v>5.5136528800262097</c:v>
                </c:pt>
                <c:pt idx="6">
                  <c:v>6.4301493953745625</c:v>
                </c:pt>
                <c:pt idx="7">
                  <c:v>6.926813828370193</c:v>
                </c:pt>
                <c:pt idx="8">
                  <c:v>7.9200534969609437</c:v>
                </c:pt>
                <c:pt idx="9">
                  <c:v>9.0309646960282208</c:v>
                </c:pt>
              </c:numCache>
            </c:numRef>
          </c:val>
          <c:smooth val="0"/>
          <c:extLst>
            <c:ext xmlns:c16="http://schemas.microsoft.com/office/drawing/2014/chart" uri="{C3380CC4-5D6E-409C-BE32-E72D297353CC}">
              <c16:uniqueId val="{00000003-E05F-4D53-8560-FEC6E215D675}"/>
            </c:ext>
          </c:extLst>
        </c:ser>
        <c:dLbls>
          <c:showLegendKey val="0"/>
          <c:showVal val="0"/>
          <c:showCatName val="0"/>
          <c:showSerName val="0"/>
          <c:showPercent val="0"/>
          <c:showBubbleSize val="0"/>
        </c:dLbls>
        <c:smooth val="0"/>
        <c:axId val="240560384"/>
        <c:axId val="240562176"/>
      </c:lineChart>
      <c:catAx>
        <c:axId val="240560384"/>
        <c:scaling>
          <c:orientation val="minMax"/>
        </c:scaling>
        <c:delete val="0"/>
        <c:axPos val="b"/>
        <c:numFmt formatCode="General" sourceLinked="0"/>
        <c:majorTickMark val="out"/>
        <c:minorTickMark val="none"/>
        <c:tickLblPos val="nextTo"/>
        <c:crossAx val="240562176"/>
        <c:crosses val="autoZero"/>
        <c:auto val="1"/>
        <c:lblAlgn val="ctr"/>
        <c:lblOffset val="100"/>
        <c:noMultiLvlLbl val="0"/>
      </c:catAx>
      <c:valAx>
        <c:axId val="240562176"/>
        <c:scaling>
          <c:orientation val="minMax"/>
        </c:scaling>
        <c:delete val="0"/>
        <c:axPos val="l"/>
        <c:majorGridlines/>
        <c:title>
          <c:tx>
            <c:rich>
              <a:bodyPr rot="-5400000" vert="horz"/>
              <a:lstStyle/>
              <a:p>
                <a:pPr>
                  <a:defRPr sz="900"/>
                </a:pPr>
                <a:r>
                  <a:rPr lang="en-US" sz="900"/>
                  <a:t>Taxa Acumulada no Ano (%)</a:t>
                </a:r>
              </a:p>
            </c:rich>
          </c:tx>
          <c:layout>
            <c:manualLayout>
              <c:xMode val="edge"/>
              <c:yMode val="edge"/>
              <c:x val="7.2362108347227713E-2"/>
              <c:y val="0.15171038985980412"/>
            </c:manualLayout>
          </c:layout>
          <c:overlay val="0"/>
        </c:title>
        <c:numFmt formatCode="0.00" sourceLinked="1"/>
        <c:majorTickMark val="out"/>
        <c:minorTickMark val="none"/>
        <c:tickLblPos val="nextTo"/>
        <c:crossAx val="240560384"/>
        <c:crosses val="autoZero"/>
        <c:crossBetween val="between"/>
      </c:valAx>
      <c:dTable>
        <c:showHorzBorder val="1"/>
        <c:showVertBorder val="1"/>
        <c:showOutline val="1"/>
        <c:showKeys val="1"/>
      </c:dTable>
    </c:plotArea>
    <c:plotVisOnly val="1"/>
    <c:dispBlanksAs val="gap"/>
    <c:showDLblsOverMax val="0"/>
  </c:chart>
  <c:txPr>
    <a:bodyPr/>
    <a:lstStyle/>
    <a:p>
      <a:pPr>
        <a:defRPr sz="800"/>
      </a:pPr>
      <a:endParaRPr lang="pt-BR"/>
    </a:p>
  </c:txPr>
  <c:externalData r:id="rId1">
    <c:autoUpdate val="0"/>
  </c:externalData>
</c:chartSpace>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F3E814C332315340B8948FD3EDF49947" ma:contentTypeVersion="15" ma:contentTypeDescription="Crie um novo documento." ma:contentTypeScope="" ma:versionID="588bdca14bcefdc2508f9d8836f769eb">
  <xsd:schema xmlns:xsd="http://www.w3.org/2001/XMLSchema" xmlns:xs="http://www.w3.org/2001/XMLSchema" xmlns:p="http://schemas.microsoft.com/office/2006/metadata/properties" xmlns:ns2="12c972c1-701c-4564-93a8-d41bed9251ac" xmlns:ns3="d8ecdba0-8375-4681-920e-96cd528de9f3" targetNamespace="http://schemas.microsoft.com/office/2006/metadata/properties" ma:root="true" ma:fieldsID="a1dad5ff17f6dca548b97adb218fb406" ns2:_="" ns3:_="">
    <xsd:import namespace="12c972c1-701c-4564-93a8-d41bed9251ac"/>
    <xsd:import namespace="d8ecdba0-8375-4681-920e-96cd528de9f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c972c1-701c-4564-93a8-d41bed9251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Marcações de imagem" ma:readOnly="false" ma:fieldId="{5cf76f15-5ced-4ddc-b409-7134ff3c332f}" ma:taxonomyMulti="true" ma:sspId="5b1d2a5f-edbb-4101-a266-927dc7b0f9a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ecdba0-8375-4681-920e-96cd528de9f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d59c201-41c8-4b8c-8171-0c85d67b8c81}" ma:internalName="TaxCatchAll" ma:showField="CatchAllData" ma:web="d8ecdba0-8375-4681-920e-96cd528de9f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d8ecdba0-8375-4681-920e-96cd528de9f3" xsi:nil="true"/>
    <lcf76f155ced4ddcb4097134ff3c332f xmlns="12c972c1-701c-4564-93a8-d41bed9251a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4F4674B-D70B-4EA0-9AA8-33A40067FED6}">
  <ds:schemaRefs>
    <ds:schemaRef ds:uri="http://schemas.openxmlformats.org/officeDocument/2006/bibliography"/>
  </ds:schemaRefs>
</ds:datastoreItem>
</file>

<file path=customXml/itemProps2.xml><?xml version="1.0" encoding="utf-8"?>
<ds:datastoreItem xmlns:ds="http://schemas.openxmlformats.org/officeDocument/2006/customXml" ds:itemID="{049F1FD2-674B-4A80-B0F1-4549F32C533C}">
  <ds:schemaRefs>
    <ds:schemaRef ds:uri="http://schemas.microsoft.com/sharepoint/v3/contenttype/forms"/>
  </ds:schemaRefs>
</ds:datastoreItem>
</file>

<file path=customXml/itemProps3.xml><?xml version="1.0" encoding="utf-8"?>
<ds:datastoreItem xmlns:ds="http://schemas.openxmlformats.org/officeDocument/2006/customXml" ds:itemID="{123B7E4A-1B60-4D5A-9DD8-D6F73AAC81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c972c1-701c-4564-93a8-d41bed9251ac"/>
    <ds:schemaRef ds:uri="d8ecdba0-8375-4681-920e-96cd528de9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C99497F-317F-4AA6-BED6-FF3A55095DF2}">
  <ds:schemaRefs>
    <ds:schemaRef ds:uri="http://schemas.microsoft.com/office/2006/metadata/properties"/>
    <ds:schemaRef ds:uri="http://schemas.microsoft.com/office/infopath/2007/PartnerControls"/>
    <ds:schemaRef ds:uri="d8ecdba0-8375-4681-920e-96cd528de9f3"/>
    <ds:schemaRef ds:uri="12c972c1-701c-4564-93a8-d41bed9251a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45</Pages>
  <Words>16996</Words>
  <Characters>91781</Characters>
  <Application>Microsoft Office Word</Application>
  <DocSecurity>0</DocSecurity>
  <Lines>764</Lines>
  <Paragraphs>217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108560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Lucimar</dc:creator>
  <cp:lastModifiedBy>Vanessa Dias Raythz</cp:lastModifiedBy>
  <cp:revision>2</cp:revision>
  <cp:lastPrinted>2018-01-04T15:05:00Z</cp:lastPrinted>
  <dcterms:created xsi:type="dcterms:W3CDTF">2024-11-21T12:18:00Z</dcterms:created>
  <dcterms:modified xsi:type="dcterms:W3CDTF">2024-11-21T12:18:00Z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0x010100F3E814C332315340B8948FD3EDF49947</vt:lpwstr>
  </property>
</Properties>
</file>